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1584877"/>
        <w:docPartObj>
          <w:docPartGallery w:val="Cover Pages"/>
          <w:docPartUnique/>
        </w:docPartObj>
      </w:sdtPr>
      <w:sdtEndPr/>
      <w:sdtContent>
        <w:p w14:paraId="7DC0E8A1" w14:textId="77777777" w:rsidR="00D15896" w:rsidRDefault="00D15896"/>
        <w:tbl>
          <w:tblPr>
            <w:tblpPr w:leftFromText="187" w:rightFromText="187" w:vertAnchor="page" w:horzAnchor="page" w:tblpX="1939" w:tblpY="4377"/>
            <w:tblW w:w="2740" w:type="pct"/>
            <w:tblCellMar>
              <w:left w:w="144" w:type="dxa"/>
              <w:right w:w="115" w:type="dxa"/>
            </w:tblCellMar>
            <w:tblLook w:val="04A0" w:firstRow="1" w:lastRow="0" w:firstColumn="1" w:lastColumn="0" w:noHBand="0" w:noVBand="1"/>
          </w:tblPr>
          <w:tblGrid>
            <w:gridCol w:w="5129"/>
          </w:tblGrid>
          <w:tr w:rsidR="00D15896" w14:paraId="3C16498C" w14:textId="77777777" w:rsidTr="00006B5A">
            <w:trPr>
              <w:trHeight w:val="863"/>
            </w:trPr>
            <w:tc>
              <w:tcPr>
                <w:tcW w:w="5129" w:type="dxa"/>
                <w:tcMar>
                  <w:top w:w="216" w:type="dxa"/>
                  <w:left w:w="115" w:type="dxa"/>
                  <w:bottom w:w="216" w:type="dxa"/>
                  <w:right w:w="115" w:type="dxa"/>
                </w:tcMar>
              </w:tcPr>
              <w:p w14:paraId="6CA975BA" w14:textId="77777777" w:rsidR="00D15896" w:rsidRDefault="00D15896" w:rsidP="00D15896">
                <w:pPr>
                  <w:pStyle w:val="NoSpacing"/>
                  <w:rPr>
                    <w:color w:val="007C3A" w:themeColor="accent1" w:themeShade="BF"/>
                    <w:sz w:val="24"/>
                  </w:rPr>
                </w:pPr>
              </w:p>
            </w:tc>
          </w:tr>
          <w:tr w:rsidR="00D15896" w14:paraId="11515C1A" w14:textId="77777777" w:rsidTr="00006B5A">
            <w:trPr>
              <w:trHeight w:val="2411"/>
            </w:trPr>
            <w:tc>
              <w:tcPr>
                <w:tcW w:w="5129" w:type="dxa"/>
              </w:tcPr>
              <w:sdt>
                <w:sdtPr>
                  <w:rPr>
                    <w:rFonts w:asciiTheme="majorHAnsi" w:eastAsiaTheme="majorEastAsia" w:hAnsiTheme="majorHAnsi" w:cstheme="majorBidi"/>
                    <w:b/>
                    <w:color w:val="00A64F" w:themeColor="accent1"/>
                    <w:sz w:val="64"/>
                    <w:szCs w:val="64"/>
                  </w:rPr>
                  <w:alias w:val="Title"/>
                  <w:id w:val="13406919"/>
                  <w:placeholder>
                    <w:docPart w:val="0493940E69AD4721A676F227ECC5F40E"/>
                  </w:placeholder>
                  <w:dataBinding w:prefixMappings="xmlns:ns0='http://schemas.openxmlformats.org/package/2006/metadata/core-properties' xmlns:ns1='http://purl.org/dc/elements/1.1/'" w:xpath="/ns0:coreProperties[1]/ns1:title[1]" w:storeItemID="{6C3C8BC8-F283-45AE-878A-BAB7291924A1}"/>
                  <w:text/>
                </w:sdtPr>
                <w:sdtEndPr/>
                <w:sdtContent>
                  <w:p w14:paraId="3E1045C5" w14:textId="77777777" w:rsidR="00D15896" w:rsidRPr="00006B5A" w:rsidRDefault="00D15896" w:rsidP="00D15896">
                    <w:pPr>
                      <w:pStyle w:val="NoSpacing"/>
                      <w:spacing w:line="216" w:lineRule="auto"/>
                      <w:rPr>
                        <w:rFonts w:asciiTheme="majorHAnsi" w:eastAsiaTheme="majorEastAsia" w:hAnsiTheme="majorHAnsi" w:cstheme="majorBidi"/>
                        <w:color w:val="00A64F" w:themeColor="accent1"/>
                        <w:sz w:val="64"/>
                        <w:szCs w:val="64"/>
                      </w:rPr>
                    </w:pPr>
                    <w:r w:rsidRPr="00006B5A">
                      <w:rPr>
                        <w:rFonts w:asciiTheme="majorHAnsi" w:eastAsiaTheme="majorEastAsia" w:hAnsiTheme="majorHAnsi" w:cstheme="majorBidi"/>
                        <w:b/>
                        <w:color w:val="00A64F" w:themeColor="accent1"/>
                        <w:sz w:val="64"/>
                        <w:szCs w:val="64"/>
                      </w:rPr>
                      <w:t>Transit</w:t>
                    </w:r>
                    <w:r w:rsidR="00006B5A" w:rsidRPr="00006B5A">
                      <w:rPr>
                        <w:rFonts w:asciiTheme="majorHAnsi" w:eastAsiaTheme="majorEastAsia" w:hAnsiTheme="majorHAnsi" w:cstheme="majorBidi"/>
                        <w:b/>
                        <w:color w:val="00A64F" w:themeColor="accent1"/>
                        <w:sz w:val="64"/>
                        <w:szCs w:val="64"/>
                      </w:rPr>
                      <w:t xml:space="preserve"> </w:t>
                    </w:r>
                    <w:r w:rsidRPr="00006B5A">
                      <w:rPr>
                        <w:rFonts w:asciiTheme="majorHAnsi" w:eastAsiaTheme="majorEastAsia" w:hAnsiTheme="majorHAnsi" w:cstheme="majorBidi"/>
                        <w:b/>
                        <w:color w:val="00A64F" w:themeColor="accent1"/>
                        <w:sz w:val="64"/>
                        <w:szCs w:val="64"/>
                      </w:rPr>
                      <w:t>Asset Management Plan</w:t>
                    </w:r>
                  </w:p>
                </w:sdtContent>
              </w:sdt>
            </w:tc>
          </w:tr>
          <w:tr w:rsidR="00D15896" w14:paraId="37D07E29" w14:textId="77777777" w:rsidTr="00006B5A">
            <w:tc>
              <w:tcPr>
                <w:tcW w:w="5129" w:type="dxa"/>
                <w:tcMar>
                  <w:top w:w="216" w:type="dxa"/>
                  <w:left w:w="115" w:type="dxa"/>
                  <w:bottom w:w="216" w:type="dxa"/>
                  <w:right w:w="115" w:type="dxa"/>
                </w:tcMar>
              </w:tcPr>
              <w:p w14:paraId="79471A7F" w14:textId="77777777" w:rsidR="00D15896" w:rsidRDefault="00D15896" w:rsidP="00D15896">
                <w:pPr>
                  <w:pStyle w:val="NoSpacing"/>
                  <w:rPr>
                    <w:color w:val="007C3A" w:themeColor="accent1" w:themeShade="BF"/>
                    <w:sz w:val="24"/>
                  </w:rPr>
                </w:pPr>
              </w:p>
            </w:tc>
          </w:tr>
        </w:tbl>
        <w:p w14:paraId="5484C6D5" w14:textId="77777777" w:rsidR="00D15896" w:rsidRDefault="00006B5A">
          <w:pPr>
            <w:rPr>
              <w:rFonts w:asciiTheme="majorHAnsi" w:hAnsiTheme="majorHAnsi"/>
              <w:b/>
              <w:caps/>
              <w:color w:val="FFFFFF" w:themeColor="background1"/>
              <w:spacing w:val="15"/>
              <w:sz w:val="22"/>
              <w:szCs w:val="22"/>
            </w:rPr>
          </w:pPr>
          <w:r>
            <w:rPr>
              <w:noProof/>
            </w:rPr>
            <mc:AlternateContent>
              <mc:Choice Requires="wps">
                <w:drawing>
                  <wp:anchor distT="45720" distB="45720" distL="114300" distR="114300" simplePos="0" relativeHeight="251659264" behindDoc="0" locked="0" layoutInCell="1" allowOverlap="1" wp14:anchorId="7EB83558" wp14:editId="7CB7AB01">
                    <wp:simplePos x="0" y="0"/>
                    <wp:positionH relativeFrom="column">
                      <wp:posOffset>228388</wp:posOffset>
                    </wp:positionH>
                    <wp:positionV relativeFrom="paragraph">
                      <wp:posOffset>5167630</wp:posOffset>
                    </wp:positionV>
                    <wp:extent cx="1659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1404620"/>
                            </a:xfrm>
                            <a:prstGeom prst="rect">
                              <a:avLst/>
                            </a:prstGeom>
                            <a:noFill/>
                            <a:ln w="9525">
                              <a:noFill/>
                              <a:miter lim="800000"/>
                              <a:headEnd/>
                              <a:tailEnd/>
                            </a:ln>
                          </wps:spPr>
                          <wps:txbx>
                            <w:txbxContent>
                              <w:p w14:paraId="36B89B07" w14:textId="11584936" w:rsidR="00AA2C55" w:rsidRPr="00006B5A" w:rsidRDefault="00AA2C55">
                                <w:pPr>
                                  <w:rPr>
                                    <w:color w:val="6C658F" w:themeColor="accent6"/>
                                    <w:sz w:val="32"/>
                                  </w:rPr>
                                </w:pPr>
                                <w:r>
                                  <w:rPr>
                                    <w:color w:val="6C658F" w:themeColor="accent6"/>
                                    <w:sz w:val="32"/>
                                  </w:rPr>
                                  <w:t>February</w:t>
                                </w:r>
                                <w:r w:rsidRPr="00006B5A">
                                  <w:rPr>
                                    <w:color w:val="6C658F" w:themeColor="accent6"/>
                                    <w:sz w:val="32"/>
                                  </w:rPr>
                                  <w:t xml:space="preserve"> 201</w:t>
                                </w:r>
                                <w:r>
                                  <w:rPr>
                                    <w:color w:val="6C658F" w:themeColor="accent6"/>
                                    <w:sz w:val="32"/>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83558" id="_x0000_t202" coordsize="21600,21600" o:spt="202" path="m,l,21600r21600,l21600,xe">
                    <v:stroke joinstyle="miter"/>
                    <v:path gradientshapeok="t" o:connecttype="rect"/>
                  </v:shapetype>
                  <v:shape id="Text Box 2" o:spid="_x0000_s1026" type="#_x0000_t202" style="position:absolute;margin-left:18pt;margin-top:406.9pt;width:13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" filled="f" stroked="f">
                    <v:textbox style="mso-fit-shape-to-text:t">
                      <w:txbxContent>
                        <w:p w14:paraId="36B89B07" w14:textId="11584936" w:rsidR="00AA2C55" w:rsidRPr="00006B5A" w:rsidRDefault="00AA2C55">
                          <w:pPr>
                            <w:rPr>
                              <w:color w:val="6C658F" w:themeColor="accent6"/>
                              <w:sz w:val="32"/>
                            </w:rPr>
                          </w:pPr>
                          <w:r>
                            <w:rPr>
                              <w:color w:val="6C658F" w:themeColor="accent6"/>
                              <w:sz w:val="32"/>
                            </w:rPr>
                            <w:t>February</w:t>
                          </w:r>
                          <w:r w:rsidRPr="00006B5A">
                            <w:rPr>
                              <w:color w:val="6C658F" w:themeColor="accent6"/>
                              <w:sz w:val="32"/>
                            </w:rPr>
                            <w:t xml:space="preserve"> 201</w:t>
                          </w:r>
                          <w:r>
                            <w:rPr>
                              <w:color w:val="6C658F" w:themeColor="accent6"/>
                              <w:sz w:val="32"/>
                            </w:rPr>
                            <w:t>9</w:t>
                          </w:r>
                        </w:p>
                      </w:txbxContent>
                    </v:textbox>
                    <w10:wrap type="square"/>
                  </v:shape>
                </w:pict>
              </mc:Fallback>
            </mc:AlternateContent>
          </w:r>
          <w:r w:rsidR="00D15896">
            <w:br w:type="page"/>
          </w:r>
        </w:p>
      </w:sdtContent>
    </w:sdt>
    <w:p w14:paraId="04CCAE5A" w14:textId="77777777" w:rsidR="00AC110C" w:rsidRDefault="00AC110C" w:rsidP="00AC110C">
      <w:pPr>
        <w:pStyle w:val="Heading1"/>
      </w:pPr>
      <w:r>
        <w:lastRenderedPageBreak/>
        <w:t xml:space="preserve">Beaumont Municipal Transit </w:t>
      </w:r>
    </w:p>
    <w:p w14:paraId="3B49656C" w14:textId="77777777" w:rsidR="00E007E0" w:rsidRDefault="00AC110C" w:rsidP="00AC110C">
      <w:pPr>
        <w:pStyle w:val="Heading2"/>
      </w:pPr>
      <w:r>
        <w:t>Transit Asset Management Plan</w:t>
      </w:r>
    </w:p>
    <w:p w14:paraId="09C4B8F4" w14:textId="77777777" w:rsidR="00AC110C" w:rsidRDefault="00AC110C" w:rsidP="00AC110C">
      <w:pPr>
        <w:pStyle w:val="Heading3"/>
      </w:pPr>
      <w:r>
        <w:t>Transit Asset Management</w:t>
      </w:r>
      <w:r w:rsidR="001B49F7">
        <w:t xml:space="preserve"> </w:t>
      </w:r>
    </w:p>
    <w:p w14:paraId="5AF81E83" w14:textId="77777777" w:rsidR="00AC110C" w:rsidRDefault="00AC110C" w:rsidP="00AC110C">
      <w:r>
        <w:t>A Transit Asset Management Plan (TAMP) is a strategic and systematic planning tool to manage transit capital assets based on careful planning and improved decision</w:t>
      </w:r>
      <w:r>
        <w:rPr>
          <w:rFonts w:ascii="Cambria Math" w:hAnsi="Cambria Math" w:cs="Cambria Math"/>
        </w:rPr>
        <w:t>‐</w:t>
      </w:r>
      <w:r>
        <w:t>making. A TAMP uses transit asset condition to guide how to manage capital assets and prioritize funding to improve or maintain the overall transit fleet and facilities to a target level of State of Good Repair (SGR). A TAMP is essentially a business model that evaluates asset condition to develop a prioritized asset replacement strategy.</w:t>
      </w:r>
    </w:p>
    <w:p w14:paraId="7BB7786E" w14:textId="1035E48F" w:rsidR="008822E3" w:rsidRDefault="008822E3" w:rsidP="008822E3">
      <w:r>
        <w:t xml:space="preserve">The purpose of the TAMP is to aid transit agencies in achieving and maintaining </w:t>
      </w:r>
      <w:proofErr w:type="gramStart"/>
      <w:r>
        <w:t>a</w:t>
      </w:r>
      <w:proofErr w:type="gramEnd"/>
      <w:r>
        <w:t xml:space="preserve"> SGR of all public transportation assets. SGR is the condition in which a capital asset </w:t>
      </w:r>
      <w:proofErr w:type="gramStart"/>
      <w:r>
        <w:t>is able to</w:t>
      </w:r>
      <w:proofErr w:type="gramEnd"/>
      <w:r>
        <w:t xml:space="preserve"> operate at a full level of performance. This means that the asset:</w:t>
      </w:r>
    </w:p>
    <w:p w14:paraId="489402EE" w14:textId="77777777" w:rsidR="008822E3" w:rsidRPr="008822E3" w:rsidRDefault="008822E3" w:rsidP="008822E3">
      <w:pPr>
        <w:pStyle w:val="ListBullets"/>
      </w:pPr>
      <w:proofErr w:type="gramStart"/>
      <w:r w:rsidRPr="008822E3">
        <w:t>Is able to</w:t>
      </w:r>
      <w:proofErr w:type="gramEnd"/>
      <w:r w:rsidRPr="008822E3">
        <w:t xml:space="preserve"> perform its designed function.</w:t>
      </w:r>
    </w:p>
    <w:p w14:paraId="71413EBF" w14:textId="77777777" w:rsidR="008822E3" w:rsidRPr="008822E3" w:rsidRDefault="008822E3" w:rsidP="008822E3">
      <w:pPr>
        <w:pStyle w:val="ListBullets"/>
      </w:pPr>
      <w:r w:rsidRPr="008822E3">
        <w:t>Does not pose a known unacceptable safety risk.</w:t>
      </w:r>
    </w:p>
    <w:p w14:paraId="6F1120DE" w14:textId="29F5A6C7" w:rsidR="008822E3" w:rsidRPr="008822E3" w:rsidRDefault="003549DD" w:rsidP="008822E3">
      <w:pPr>
        <w:pStyle w:val="ListBullets"/>
      </w:pPr>
      <w:r>
        <w:t>Has met or recovered its l</w:t>
      </w:r>
      <w:r w:rsidR="008822E3" w:rsidRPr="008822E3">
        <w:t>ifecycle investments.</w:t>
      </w:r>
    </w:p>
    <w:p w14:paraId="7F26CBAC" w14:textId="0F5A05A5" w:rsidR="00AC110C" w:rsidRDefault="008822E3" w:rsidP="008822E3">
      <w:r>
        <w:t xml:space="preserve">This goal was articulated in </w:t>
      </w:r>
      <w:r w:rsidR="00AA2C55">
        <w:t xml:space="preserve">the </w:t>
      </w:r>
      <w:bookmarkStart w:id="0" w:name="_Hlk2254818"/>
      <w:r w:rsidR="00AA2C55">
        <w:t>Federal transportation act</w:t>
      </w:r>
      <w:r w:rsidR="00AA2C55" w:rsidRPr="00BE4C85">
        <w:t xml:space="preserve"> </w:t>
      </w:r>
      <w:r w:rsidR="00AA2C55">
        <w:t>Moving Ahead for Progress in the 21</w:t>
      </w:r>
      <w:r w:rsidR="00AA2C55" w:rsidRPr="00893393">
        <w:rPr>
          <w:vertAlign w:val="superscript"/>
        </w:rPr>
        <w:t>st</w:t>
      </w:r>
      <w:r w:rsidR="00AA2C55">
        <w:t xml:space="preserve"> Century Act (</w:t>
      </w:r>
      <w:r w:rsidR="00AA2C55" w:rsidRPr="00BE4C85">
        <w:t>MAP-21</w:t>
      </w:r>
      <w:r w:rsidR="00AA2C55">
        <w:t>)</w:t>
      </w:r>
      <w:r>
        <w:t xml:space="preserve"> </w:t>
      </w:r>
      <w:bookmarkEnd w:id="0"/>
      <w:r>
        <w:t>as part of the realignment to give the Federal Transit Administration (FTA) national oversight over transit system safety.</w:t>
      </w:r>
    </w:p>
    <w:p w14:paraId="0E607C66" w14:textId="77777777" w:rsidR="00D875A0" w:rsidRDefault="00D875A0" w:rsidP="00D875A0">
      <w:pPr>
        <w:pStyle w:val="Heading3"/>
      </w:pPr>
      <w:r>
        <w:t xml:space="preserve">Beaumont Municipal Transit </w:t>
      </w:r>
    </w:p>
    <w:p w14:paraId="269112B9" w14:textId="77777777" w:rsidR="00D875A0" w:rsidRDefault="00D875A0" w:rsidP="00D875A0">
      <w:r>
        <w:t xml:space="preserve">Beaumont Municipal Transit (BMT) is a small urban transportation system that provides nine fixed routes and door-to-door transportation service for elderly and handicapped persons. </w:t>
      </w:r>
    </w:p>
    <w:p w14:paraId="03409C9D" w14:textId="4F18D625" w:rsidR="000A1A42" w:rsidRDefault="00D875A0" w:rsidP="00CE74B3">
      <w:r>
        <w:t xml:space="preserve">A TAMP is required of all providers by the FTA. All </w:t>
      </w:r>
      <w:r w:rsidR="003549DD">
        <w:t xml:space="preserve">FTA </w:t>
      </w:r>
      <w:r>
        <w:t xml:space="preserve">recipients who own, operate, or manage public transportation capital assets must have a plan. The TAMP </w:t>
      </w:r>
      <w:r w:rsidR="003549DD">
        <w:t>F</w:t>
      </w:r>
      <w:r>
        <w:t xml:space="preserve">inal </w:t>
      </w:r>
      <w:r w:rsidR="003549DD">
        <w:t>R</w:t>
      </w:r>
      <w:r>
        <w:t>ule divides providers into two size categories: tier I and tier II. BMT falls under tier II</w:t>
      </w:r>
      <w:r w:rsidR="00826A93">
        <w:t xml:space="preserve"> in that i</w:t>
      </w:r>
      <w:r>
        <w:t xml:space="preserve">t owns, operates and manages less than 100 vehicles in revenue service during peak regular service across all non-rail fixed route modes. Since BMT is </w:t>
      </w:r>
      <w:r w:rsidR="00826A93">
        <w:t xml:space="preserve">a </w:t>
      </w:r>
      <w:r>
        <w:t xml:space="preserve">small urban service provider and a tier II provider, BMT has the option of </w:t>
      </w:r>
      <w:r w:rsidR="00826A93">
        <w:t xml:space="preserve">either </w:t>
      </w:r>
      <w:r>
        <w:t xml:space="preserve">participating in a Group Plan developed by the South East Texas Regional Planning Commission (SETRPC) or opting out and developing its own plan. BMT has decided to develop its own TAMP. </w:t>
      </w:r>
    </w:p>
    <w:p w14:paraId="4BE0E8C9" w14:textId="7C84871F" w:rsidR="00D875A0" w:rsidRDefault="00D875A0" w:rsidP="000A1A42">
      <w:pPr>
        <w:pStyle w:val="Heading3"/>
      </w:pPr>
      <w:r>
        <w:t xml:space="preserve">BMT TAMP Development </w:t>
      </w:r>
    </w:p>
    <w:p w14:paraId="0E4F41D6" w14:textId="06DC37F7" w:rsidR="00D875A0" w:rsidRDefault="00D875A0" w:rsidP="00D875A0">
      <w:r>
        <w:t>Following FTA rules on TAMP</w:t>
      </w:r>
      <w:r w:rsidR="00826A93">
        <w:t>s</w:t>
      </w:r>
      <w:r>
        <w:t xml:space="preserve">, the TAMP for BMT was developed following the steps </w:t>
      </w:r>
      <w:r w:rsidR="00CE74B3">
        <w:t>listed</w:t>
      </w:r>
      <w:r>
        <w:t xml:space="preserve"> below:</w:t>
      </w:r>
    </w:p>
    <w:p w14:paraId="119D67EA" w14:textId="0ABDB4B9" w:rsidR="00D875A0" w:rsidRDefault="00D875A0" w:rsidP="00D875A0">
      <w:pPr>
        <w:pStyle w:val="ListBullets"/>
      </w:pPr>
      <w:r w:rsidRPr="00B239F7">
        <w:rPr>
          <w:b/>
        </w:rPr>
        <w:t>Capital Asset Inventory:</w:t>
      </w:r>
      <w:r>
        <w:t xml:space="preserve"> Develop</w:t>
      </w:r>
      <w:r w:rsidR="00826A93">
        <w:t>ed</w:t>
      </w:r>
      <w:r>
        <w:t xml:space="preserve"> an accurate inventory of capital assets including revenue vehicles, backup vehicles, non</w:t>
      </w:r>
      <w:r>
        <w:rPr>
          <w:rFonts w:ascii="Cambria Math" w:hAnsi="Cambria Math" w:cs="Cambria Math"/>
        </w:rPr>
        <w:t>‐</w:t>
      </w:r>
      <w:r>
        <w:t>revenue vehicles, equipment, and facilities for BMT transit service.</w:t>
      </w:r>
    </w:p>
    <w:p w14:paraId="5EA8462F" w14:textId="495BAF22" w:rsidR="00D875A0" w:rsidRDefault="00D875A0" w:rsidP="00D875A0">
      <w:pPr>
        <w:pStyle w:val="ListBullets"/>
      </w:pPr>
      <w:r w:rsidRPr="00B239F7">
        <w:rPr>
          <w:b/>
        </w:rPr>
        <w:lastRenderedPageBreak/>
        <w:t>Condition Assessment:</w:t>
      </w:r>
      <w:r>
        <w:t xml:space="preserve"> Conduct</w:t>
      </w:r>
      <w:r w:rsidR="00826A93">
        <w:t>ed</w:t>
      </w:r>
      <w:r>
        <w:t xml:space="preserve"> condition assessment of all inventoried assets using FTA vehicle useful life benchmark (ULB) for vehicles </w:t>
      </w:r>
      <w:r w:rsidR="00826A93">
        <w:t>and</w:t>
      </w:r>
      <w:r>
        <w:t xml:space="preserve"> FTA’s Transit Economic Requirements Model (TERM) scores for equipment and facilities.</w:t>
      </w:r>
    </w:p>
    <w:p w14:paraId="78997288" w14:textId="5EE5AC79" w:rsidR="00D875A0" w:rsidRDefault="00D875A0" w:rsidP="00D875A0">
      <w:pPr>
        <w:pStyle w:val="ListBullets"/>
      </w:pPr>
      <w:r w:rsidRPr="00B239F7">
        <w:rPr>
          <w:b/>
        </w:rPr>
        <w:t>Performance Targets and Measures:</w:t>
      </w:r>
      <w:r>
        <w:t xml:space="preserve"> Determine</w:t>
      </w:r>
      <w:r w:rsidR="00826A93">
        <w:t>d</w:t>
      </w:r>
      <w:r>
        <w:t xml:space="preserve"> reasonable and achievable targets for the acceptable percentage of assets exceeding their SGR. </w:t>
      </w:r>
    </w:p>
    <w:p w14:paraId="31CBB61B" w14:textId="512FDE83" w:rsidR="00D875A0" w:rsidRDefault="00D875A0" w:rsidP="00D875A0">
      <w:pPr>
        <w:pStyle w:val="ListBullets"/>
      </w:pPr>
      <w:r w:rsidRPr="00B239F7">
        <w:rPr>
          <w:b/>
        </w:rPr>
        <w:t>Decision Support Tool:</w:t>
      </w:r>
      <w:r>
        <w:t xml:space="preserve"> Discuss</w:t>
      </w:r>
      <w:r w:rsidR="00826A93">
        <w:t>ed</w:t>
      </w:r>
      <w:r>
        <w:t xml:space="preserve"> the factors considered to support decision making related to investment prioritization. Pipeline</w:t>
      </w:r>
      <w:r w:rsidR="00826A93">
        <w:t>d</w:t>
      </w:r>
      <w:r>
        <w:t xml:space="preserve"> projects to smooth the use of funds each year and optimize the replacement of assets over time. Calculate</w:t>
      </w:r>
      <w:r w:rsidR="00826A93">
        <w:t>d</w:t>
      </w:r>
      <w:r>
        <w:t xml:space="preserve"> the pipelined and prioritized projects for future investment. </w:t>
      </w:r>
    </w:p>
    <w:p w14:paraId="6F15F675" w14:textId="76A8A3F8" w:rsidR="00D875A0" w:rsidRDefault="00D875A0" w:rsidP="00D875A0">
      <w:r>
        <w:t xml:space="preserve">The </w:t>
      </w:r>
      <w:r w:rsidR="00CE74B3">
        <w:t>TAMP</w:t>
      </w:r>
      <w:r>
        <w:t xml:space="preserve"> will be a component of the MPO’s long range transportation plan. These capital investment priorities will be critical </w:t>
      </w:r>
      <w:r w:rsidR="00CE74B3">
        <w:t xml:space="preserve">inputs to </w:t>
      </w:r>
      <w:r>
        <w:t xml:space="preserve">SETRPC, and </w:t>
      </w:r>
      <w:r w:rsidR="00826A93">
        <w:t xml:space="preserve">the </w:t>
      </w:r>
      <w:r>
        <w:t xml:space="preserve">Transportation </w:t>
      </w:r>
      <w:r w:rsidR="00CE74B3">
        <w:t xml:space="preserve">Improvement </w:t>
      </w:r>
      <w:r>
        <w:t xml:space="preserve">Program (TIP). </w:t>
      </w:r>
    </w:p>
    <w:p w14:paraId="389CDFBD" w14:textId="77777777" w:rsidR="00D875A0" w:rsidRDefault="00D875A0" w:rsidP="00D875A0">
      <w:r>
        <w:t>The following sections detail the steps of developing the TAMP for BMT.</w:t>
      </w:r>
    </w:p>
    <w:p w14:paraId="75402B9A" w14:textId="77777777" w:rsidR="00D875A0" w:rsidRDefault="00D875A0" w:rsidP="00D875A0">
      <w:pPr>
        <w:pStyle w:val="Heading4"/>
      </w:pPr>
      <w:r>
        <w:t>CAPITAL ASSET INVENTORY</w:t>
      </w:r>
    </w:p>
    <w:p w14:paraId="39D599E6" w14:textId="3EA74653" w:rsidR="00D875A0" w:rsidRDefault="00D875A0" w:rsidP="00D875A0">
      <w:r>
        <w:t>The required asset inventory is a listing of providers’ assets which meet certain criteria as specified in TAMP rules. Assets include vehicles, facilities, and equipment that support the delivery of public transportation services. Unlike some other FTA programs, all assets must be reported in the TAMP regardless of whether they were purchased with FTA funds or are still under lien. Defined assets include:</w:t>
      </w:r>
    </w:p>
    <w:p w14:paraId="527DD635" w14:textId="77777777" w:rsidR="00D875A0" w:rsidRPr="00D875A0" w:rsidRDefault="00D875A0" w:rsidP="00D875A0">
      <w:pPr>
        <w:pStyle w:val="ListBullets"/>
      </w:pPr>
      <w:r w:rsidRPr="00D875A0">
        <w:t xml:space="preserve">Rolling Stock </w:t>
      </w:r>
    </w:p>
    <w:p w14:paraId="408F9E4C" w14:textId="77777777" w:rsidR="00D875A0" w:rsidRPr="00D875A0" w:rsidRDefault="00D875A0" w:rsidP="00D66330">
      <w:pPr>
        <w:pStyle w:val="ListBullets"/>
        <w:numPr>
          <w:ilvl w:val="1"/>
          <w:numId w:val="6"/>
        </w:numPr>
      </w:pPr>
      <w:r w:rsidRPr="00D875A0">
        <w:t>Revenue vehicles</w:t>
      </w:r>
    </w:p>
    <w:p w14:paraId="60B8AACA" w14:textId="77777777" w:rsidR="00D875A0" w:rsidRPr="00D875A0" w:rsidRDefault="00D875A0" w:rsidP="00D66330">
      <w:pPr>
        <w:pStyle w:val="ListBullets"/>
        <w:numPr>
          <w:ilvl w:val="1"/>
          <w:numId w:val="6"/>
        </w:numPr>
      </w:pPr>
      <w:r w:rsidRPr="00D875A0">
        <w:t>Non</w:t>
      </w:r>
      <w:r w:rsidRPr="00D875A0">
        <w:rPr>
          <w:rFonts w:ascii="Cambria Math" w:hAnsi="Cambria Math" w:cs="Cambria Math"/>
        </w:rPr>
        <w:t>‐</w:t>
      </w:r>
      <w:r w:rsidRPr="00D875A0">
        <w:t>revenue vehicles</w:t>
      </w:r>
    </w:p>
    <w:p w14:paraId="277CF7C7" w14:textId="77777777" w:rsidR="00D875A0" w:rsidRPr="00D875A0" w:rsidRDefault="00D875A0" w:rsidP="00D875A0">
      <w:pPr>
        <w:pStyle w:val="ListBullets"/>
      </w:pPr>
      <w:r w:rsidRPr="00D875A0">
        <w:t>Facilities with a replacement value of $50,000 or greater</w:t>
      </w:r>
    </w:p>
    <w:p w14:paraId="003A5275" w14:textId="77777777" w:rsidR="00D875A0" w:rsidRPr="00D875A0" w:rsidRDefault="00D875A0" w:rsidP="00D875A0">
      <w:pPr>
        <w:pStyle w:val="ListBullets"/>
      </w:pPr>
      <w:r w:rsidRPr="00D875A0">
        <w:t>Equipment with a replacement value of $50,000 or greater</w:t>
      </w:r>
    </w:p>
    <w:p w14:paraId="5879F8B7" w14:textId="77777777" w:rsidR="00D875A0" w:rsidRDefault="00D875A0" w:rsidP="00D66330">
      <w:pPr>
        <w:pStyle w:val="Heading5"/>
      </w:pPr>
      <w:r>
        <w:t xml:space="preserve">Rolling </w:t>
      </w:r>
      <w:r w:rsidRPr="004115D5">
        <w:t>Stock</w:t>
      </w:r>
      <w:r>
        <w:t xml:space="preserve"> </w:t>
      </w:r>
    </w:p>
    <w:p w14:paraId="5A4776BF" w14:textId="3FBDC51C" w:rsidR="00D875A0" w:rsidRDefault="00D875A0" w:rsidP="00D875A0">
      <w:r>
        <w:t>The rolling stock inventory shows a total of 3</w:t>
      </w:r>
      <w:r w:rsidR="00266F9A">
        <w:t>3</w:t>
      </w:r>
      <w:r>
        <w:t xml:space="preserve"> vehicles currently operated for the BMT transit program. Of the 3</w:t>
      </w:r>
      <w:r w:rsidR="00C73071">
        <w:t>3</w:t>
      </w:r>
      <w:r>
        <w:t xml:space="preserve"> vehicles, 17 are revenue vehicles, five are non-revenue vehicles and </w:t>
      </w:r>
      <w:r w:rsidR="00C73071">
        <w:t>11</w:t>
      </w:r>
      <w:r w:rsidR="003F12DA">
        <w:t xml:space="preserve"> </w:t>
      </w:r>
      <w:r>
        <w:t>are spare vehicles providing revenue service when other revenue vehicles are out of service.</w:t>
      </w:r>
    </w:p>
    <w:p w14:paraId="02A365B1" w14:textId="0F8874DE" w:rsidR="00D875A0" w:rsidRDefault="00D875A0" w:rsidP="00D875A0">
      <w:r>
        <w:t xml:space="preserve">Of the 17 revenue vehicles, 12 are buses with an average age of </w:t>
      </w:r>
      <w:r w:rsidR="003F12DA">
        <w:t xml:space="preserve">9 </w:t>
      </w:r>
      <w:r>
        <w:t>years old</w:t>
      </w:r>
      <w:r w:rsidR="001B3D09">
        <w:t>, t</w:t>
      </w:r>
      <w:r w:rsidR="003F12DA">
        <w:t xml:space="preserve">hree </w:t>
      </w:r>
      <w:r>
        <w:t xml:space="preserve">are vans with an average age of </w:t>
      </w:r>
      <w:r w:rsidR="003F12DA">
        <w:t xml:space="preserve">8 </w:t>
      </w:r>
      <w:r>
        <w:t>years old</w:t>
      </w:r>
      <w:r w:rsidR="001B3D09">
        <w:t>,</w:t>
      </w:r>
      <w:r w:rsidR="003F12DA">
        <w:t xml:space="preserve"> and </w:t>
      </w:r>
      <w:r w:rsidR="001B3D09">
        <w:t xml:space="preserve">two are </w:t>
      </w:r>
      <w:r w:rsidR="003F12DA">
        <w:t xml:space="preserve">vans </w:t>
      </w:r>
      <w:r w:rsidR="001B3D09">
        <w:t>with</w:t>
      </w:r>
      <w:r w:rsidR="003F12DA">
        <w:t xml:space="preserve"> an average age of </w:t>
      </w:r>
      <w:r w:rsidR="006E162B">
        <w:t>less than one</w:t>
      </w:r>
      <w:r w:rsidR="003F12DA">
        <w:t xml:space="preserve"> year</w:t>
      </w:r>
      <w:r w:rsidR="001B3D09">
        <w:t xml:space="preserve"> old</w:t>
      </w:r>
      <w:r>
        <w:t xml:space="preserve">. </w:t>
      </w:r>
    </w:p>
    <w:p w14:paraId="5180E4C8" w14:textId="48507553" w:rsidR="00D875A0" w:rsidRDefault="00D875A0" w:rsidP="00D875A0">
      <w:r>
        <w:t xml:space="preserve">Among the five non-revenue vehicles, two are automobile with an age of </w:t>
      </w:r>
      <w:r w:rsidR="003F12DA">
        <w:t xml:space="preserve">12 </w:t>
      </w:r>
      <w:r>
        <w:t xml:space="preserve">years old and the remaining three are trucks with an average age of </w:t>
      </w:r>
      <w:r w:rsidR="003F12DA">
        <w:t xml:space="preserve">12 </w:t>
      </w:r>
      <w:r>
        <w:t xml:space="preserve">years old. </w:t>
      </w:r>
    </w:p>
    <w:p w14:paraId="58D5B050" w14:textId="3999E82E" w:rsidR="00D875A0" w:rsidRDefault="00D875A0" w:rsidP="00D875A0">
      <w:r>
        <w:t xml:space="preserve">Spare vehicles are backup vehicles providing revenue service when other revenue vehicles are out of service. The rolling stock inventory shows </w:t>
      </w:r>
      <w:r w:rsidR="003F12DA">
        <w:t xml:space="preserve">11 </w:t>
      </w:r>
      <w:r>
        <w:t xml:space="preserve">spare vehicles currently operated for the BMT transit program. Of the </w:t>
      </w:r>
      <w:r w:rsidR="00C73071">
        <w:t>11</w:t>
      </w:r>
      <w:r>
        <w:t xml:space="preserve"> spare vehicles, 6 are buses within an average age of </w:t>
      </w:r>
      <w:r w:rsidR="003F12DA">
        <w:t xml:space="preserve">10 </w:t>
      </w:r>
      <w:r>
        <w:t xml:space="preserve">years old, and the remaining </w:t>
      </w:r>
      <w:r w:rsidR="003F12DA">
        <w:t xml:space="preserve">5 </w:t>
      </w:r>
      <w:r>
        <w:t xml:space="preserve">are vans with an average age of </w:t>
      </w:r>
      <w:r w:rsidR="003F12DA">
        <w:t xml:space="preserve">8 </w:t>
      </w:r>
      <w:r>
        <w:t xml:space="preserve">years old. </w:t>
      </w:r>
    </w:p>
    <w:p w14:paraId="18D9CDDF" w14:textId="77777777" w:rsidR="00D875A0" w:rsidRDefault="00D875A0" w:rsidP="00D875A0">
      <w:r w:rsidRPr="004115D5">
        <w:rPr>
          <w:b/>
        </w:rPr>
        <w:t>Table 1</w:t>
      </w:r>
      <w:r>
        <w:t xml:space="preserve"> depicts the rolling stock inventory of the BMT transit program. </w:t>
      </w:r>
    </w:p>
    <w:p w14:paraId="76BBB18F" w14:textId="77777777" w:rsidR="006243B0" w:rsidRDefault="006243B0" w:rsidP="00D875A0"/>
    <w:p w14:paraId="1997BB14" w14:textId="77777777" w:rsidR="006243B0" w:rsidRDefault="006243B0" w:rsidP="00D875A0"/>
    <w:p w14:paraId="6CF0B91E" w14:textId="77777777" w:rsidR="00D875A0" w:rsidRPr="004115D5" w:rsidRDefault="00D875A0" w:rsidP="004115D5">
      <w:pPr>
        <w:jc w:val="center"/>
        <w:rPr>
          <w:rStyle w:val="SubtleReference"/>
        </w:rPr>
      </w:pPr>
      <w:r w:rsidRPr="004115D5">
        <w:rPr>
          <w:rStyle w:val="SubtleReference"/>
        </w:rPr>
        <w:t>Table 1: Rolling Stock Inventory</w:t>
      </w:r>
    </w:p>
    <w:tbl>
      <w:tblPr>
        <w:tblStyle w:val="Style2"/>
        <w:tblW w:w="9450" w:type="dxa"/>
        <w:tblLook w:val="04A0" w:firstRow="1" w:lastRow="0" w:firstColumn="1" w:lastColumn="0" w:noHBand="0" w:noVBand="1"/>
      </w:tblPr>
      <w:tblGrid>
        <w:gridCol w:w="1620"/>
        <w:gridCol w:w="1620"/>
        <w:gridCol w:w="1440"/>
        <w:gridCol w:w="1980"/>
        <w:gridCol w:w="1620"/>
        <w:gridCol w:w="1170"/>
      </w:tblGrid>
      <w:tr w:rsidR="006243B0" w:rsidRPr="004115D5" w14:paraId="647E59D0" w14:textId="77777777" w:rsidTr="00B239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0" w:type="dxa"/>
          </w:tcPr>
          <w:p w14:paraId="69FA9F58" w14:textId="77777777" w:rsidR="006243B0" w:rsidRPr="004115D5" w:rsidRDefault="006243B0" w:rsidP="006243B0">
            <w:r w:rsidRPr="004115D5">
              <w:t>Asset Class</w:t>
            </w:r>
          </w:p>
        </w:tc>
        <w:tc>
          <w:tcPr>
            <w:tcW w:w="1620" w:type="dxa"/>
          </w:tcPr>
          <w:p w14:paraId="4EBFDF17" w14:textId="77777777" w:rsidR="006243B0" w:rsidRPr="004115D5" w:rsidRDefault="006243B0" w:rsidP="006243B0">
            <w:pPr>
              <w:cnfStyle w:val="100000000000" w:firstRow="1" w:lastRow="0" w:firstColumn="0" w:lastColumn="0" w:oddVBand="0" w:evenVBand="0" w:oddHBand="0" w:evenHBand="0" w:firstRowFirstColumn="0" w:firstRowLastColumn="0" w:lastRowFirstColumn="0" w:lastRowLastColumn="0"/>
            </w:pPr>
            <w:r w:rsidRPr="004115D5">
              <w:t>Vehicles Type</w:t>
            </w:r>
          </w:p>
        </w:tc>
        <w:tc>
          <w:tcPr>
            <w:tcW w:w="1440" w:type="dxa"/>
          </w:tcPr>
          <w:p w14:paraId="31DE5351" w14:textId="77777777" w:rsidR="006243B0" w:rsidRPr="004115D5" w:rsidRDefault="006243B0" w:rsidP="006243B0">
            <w:pPr>
              <w:cnfStyle w:val="100000000000" w:firstRow="1" w:lastRow="0" w:firstColumn="0" w:lastColumn="0" w:oddVBand="0" w:evenVBand="0" w:oddHBand="0" w:evenHBand="0" w:firstRowFirstColumn="0" w:firstRowLastColumn="0" w:lastRowFirstColumn="0" w:lastRowLastColumn="0"/>
            </w:pPr>
            <w:r w:rsidRPr="004115D5">
              <w:t xml:space="preserve">Number of Vehicles </w:t>
            </w:r>
          </w:p>
        </w:tc>
        <w:tc>
          <w:tcPr>
            <w:tcW w:w="1980" w:type="dxa"/>
          </w:tcPr>
          <w:p w14:paraId="392F1BB9" w14:textId="77777777" w:rsidR="006243B0" w:rsidRPr="004115D5" w:rsidRDefault="006243B0" w:rsidP="006243B0">
            <w:pPr>
              <w:cnfStyle w:val="100000000000" w:firstRow="1" w:lastRow="0" w:firstColumn="0" w:lastColumn="0" w:oddVBand="0" w:evenVBand="0" w:oddHBand="0" w:evenHBand="0" w:firstRowFirstColumn="0" w:firstRowLastColumn="0" w:lastRowFirstColumn="0" w:lastRowLastColumn="0"/>
            </w:pPr>
            <w:r w:rsidRPr="004115D5">
              <w:t>Average Mileage (miles)</w:t>
            </w:r>
          </w:p>
        </w:tc>
        <w:tc>
          <w:tcPr>
            <w:tcW w:w="1620" w:type="dxa"/>
          </w:tcPr>
          <w:p w14:paraId="5F47651E" w14:textId="77777777" w:rsidR="006243B0" w:rsidRPr="004115D5" w:rsidRDefault="006243B0" w:rsidP="006243B0">
            <w:pPr>
              <w:cnfStyle w:val="100000000000" w:firstRow="1" w:lastRow="0" w:firstColumn="0" w:lastColumn="0" w:oddVBand="0" w:evenVBand="0" w:oddHBand="0" w:evenHBand="0" w:firstRowFirstColumn="0" w:firstRowLastColumn="0" w:lastRowFirstColumn="0" w:lastRowLastColumn="0"/>
            </w:pPr>
            <w:r w:rsidRPr="004115D5">
              <w:t>Average Age (years)</w:t>
            </w:r>
          </w:p>
        </w:tc>
        <w:tc>
          <w:tcPr>
            <w:tcW w:w="1170" w:type="dxa"/>
          </w:tcPr>
          <w:p w14:paraId="50FF12BA" w14:textId="77777777" w:rsidR="006243B0" w:rsidRPr="004115D5" w:rsidRDefault="006243B0" w:rsidP="006243B0">
            <w:pPr>
              <w:cnfStyle w:val="100000000000" w:firstRow="1" w:lastRow="0" w:firstColumn="0" w:lastColumn="0" w:oddVBand="0" w:evenVBand="0" w:oddHBand="0" w:evenHBand="0" w:firstRowFirstColumn="0" w:firstRowLastColumn="0" w:lastRowFirstColumn="0" w:lastRowLastColumn="0"/>
            </w:pPr>
            <w:r w:rsidRPr="004115D5">
              <w:t>Age ULB</w:t>
            </w:r>
          </w:p>
        </w:tc>
      </w:tr>
      <w:tr w:rsidR="006243B0" w:rsidRPr="004115D5" w14:paraId="3FE81407"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5E485E25" w14:textId="77777777" w:rsidR="006243B0" w:rsidRPr="004115D5" w:rsidRDefault="006243B0" w:rsidP="00B412C7">
            <w:r w:rsidRPr="004115D5">
              <w:t>Revenue Vehicles</w:t>
            </w:r>
          </w:p>
        </w:tc>
        <w:tc>
          <w:tcPr>
            <w:tcW w:w="1620" w:type="dxa"/>
          </w:tcPr>
          <w:p w14:paraId="1950ACA0" w14:textId="77777777" w:rsidR="006243B0" w:rsidRPr="004115D5" w:rsidRDefault="006243B0" w:rsidP="00B412C7">
            <w:pPr>
              <w:cnfStyle w:val="000000100000" w:firstRow="0" w:lastRow="0" w:firstColumn="0" w:lastColumn="0" w:oddVBand="0" w:evenVBand="0" w:oddHBand="1" w:evenHBand="0" w:firstRowFirstColumn="0" w:firstRowLastColumn="0" w:lastRowFirstColumn="0" w:lastRowLastColumn="0"/>
            </w:pPr>
            <w:r w:rsidRPr="004115D5">
              <w:t>Bus</w:t>
            </w:r>
          </w:p>
        </w:tc>
        <w:tc>
          <w:tcPr>
            <w:tcW w:w="1440" w:type="dxa"/>
          </w:tcPr>
          <w:p w14:paraId="46FB4147" w14:textId="77777777" w:rsidR="006243B0" w:rsidRPr="004115D5" w:rsidRDefault="006243B0" w:rsidP="00B412C7">
            <w:pPr>
              <w:cnfStyle w:val="000000100000" w:firstRow="0" w:lastRow="0" w:firstColumn="0" w:lastColumn="0" w:oddVBand="0" w:evenVBand="0" w:oddHBand="1" w:evenHBand="0" w:firstRowFirstColumn="0" w:firstRowLastColumn="0" w:lastRowFirstColumn="0" w:lastRowLastColumn="0"/>
            </w:pPr>
            <w:r w:rsidRPr="004115D5">
              <w:t>12</w:t>
            </w:r>
          </w:p>
        </w:tc>
        <w:tc>
          <w:tcPr>
            <w:tcW w:w="1980" w:type="dxa"/>
          </w:tcPr>
          <w:p w14:paraId="300421C0" w14:textId="77777777" w:rsidR="006243B0" w:rsidRPr="004115D5" w:rsidRDefault="006243B0" w:rsidP="00B412C7">
            <w:pPr>
              <w:cnfStyle w:val="000000100000" w:firstRow="0" w:lastRow="0" w:firstColumn="0" w:lastColumn="0" w:oddVBand="0" w:evenVBand="0" w:oddHBand="1" w:evenHBand="0" w:firstRowFirstColumn="0" w:firstRowLastColumn="0" w:lastRowFirstColumn="0" w:lastRowLastColumn="0"/>
            </w:pPr>
            <w:r w:rsidRPr="004115D5">
              <w:t>N/A</w:t>
            </w:r>
          </w:p>
        </w:tc>
        <w:tc>
          <w:tcPr>
            <w:tcW w:w="1620" w:type="dxa"/>
          </w:tcPr>
          <w:p w14:paraId="298F9E3D" w14:textId="606D0161" w:rsidR="006243B0" w:rsidRPr="004115D5" w:rsidRDefault="003F12DA" w:rsidP="00B412C7">
            <w:pPr>
              <w:cnfStyle w:val="000000100000" w:firstRow="0" w:lastRow="0" w:firstColumn="0" w:lastColumn="0" w:oddVBand="0" w:evenVBand="0" w:oddHBand="1" w:evenHBand="0" w:firstRowFirstColumn="0" w:firstRowLastColumn="0" w:lastRowFirstColumn="0" w:lastRowLastColumn="0"/>
            </w:pPr>
            <w:r>
              <w:t>9</w:t>
            </w:r>
          </w:p>
        </w:tc>
        <w:tc>
          <w:tcPr>
            <w:tcW w:w="1170" w:type="dxa"/>
          </w:tcPr>
          <w:p w14:paraId="05B65BB0" w14:textId="77777777" w:rsidR="006243B0" w:rsidRPr="004115D5" w:rsidRDefault="006243B0" w:rsidP="00B412C7">
            <w:pPr>
              <w:cnfStyle w:val="000000100000" w:firstRow="0" w:lastRow="0" w:firstColumn="0" w:lastColumn="0" w:oddVBand="0" w:evenVBand="0" w:oddHBand="1" w:evenHBand="0" w:firstRowFirstColumn="0" w:firstRowLastColumn="0" w:lastRowFirstColumn="0" w:lastRowLastColumn="0"/>
            </w:pPr>
            <w:r w:rsidRPr="004115D5">
              <w:t>14</w:t>
            </w:r>
          </w:p>
        </w:tc>
      </w:tr>
      <w:tr w:rsidR="003F12DA" w:rsidRPr="004115D5" w14:paraId="3D088EBC"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6FC1A79F" w14:textId="77777777" w:rsidR="003F12DA" w:rsidRPr="004115D5" w:rsidRDefault="003F12DA" w:rsidP="003F12DA"/>
        </w:tc>
        <w:tc>
          <w:tcPr>
            <w:tcW w:w="1620" w:type="dxa"/>
          </w:tcPr>
          <w:p w14:paraId="73486BDB" w14:textId="631A2628"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Van</w:t>
            </w:r>
          </w:p>
        </w:tc>
        <w:tc>
          <w:tcPr>
            <w:tcW w:w="1440" w:type="dxa"/>
          </w:tcPr>
          <w:p w14:paraId="3C5E9C62" w14:textId="107BB0D1"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t>3</w:t>
            </w:r>
          </w:p>
        </w:tc>
        <w:tc>
          <w:tcPr>
            <w:tcW w:w="1980" w:type="dxa"/>
          </w:tcPr>
          <w:p w14:paraId="14A21DC4" w14:textId="34E9D890"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&gt;100,000</w:t>
            </w:r>
          </w:p>
        </w:tc>
        <w:tc>
          <w:tcPr>
            <w:tcW w:w="1620" w:type="dxa"/>
          </w:tcPr>
          <w:p w14:paraId="2A5CAA97" w14:textId="0A25E58E" w:rsidR="003F12DA" w:rsidRPr="004115D5" w:rsidDel="003F12DA" w:rsidRDefault="003F12DA" w:rsidP="003F12DA">
            <w:pPr>
              <w:cnfStyle w:val="000000010000" w:firstRow="0" w:lastRow="0" w:firstColumn="0" w:lastColumn="0" w:oddVBand="0" w:evenVBand="0" w:oddHBand="0" w:evenHBand="1" w:firstRowFirstColumn="0" w:firstRowLastColumn="0" w:lastRowFirstColumn="0" w:lastRowLastColumn="0"/>
            </w:pPr>
            <w:r>
              <w:t>8</w:t>
            </w:r>
          </w:p>
        </w:tc>
        <w:tc>
          <w:tcPr>
            <w:tcW w:w="1170" w:type="dxa"/>
          </w:tcPr>
          <w:p w14:paraId="40093A26" w14:textId="6AE438DF"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8</w:t>
            </w:r>
          </w:p>
        </w:tc>
      </w:tr>
      <w:tr w:rsidR="003F12DA" w:rsidRPr="004115D5" w14:paraId="1DD804DF"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45552703" w14:textId="77777777" w:rsidR="003F12DA" w:rsidRPr="004115D5" w:rsidRDefault="003F12DA" w:rsidP="003F12DA"/>
        </w:tc>
        <w:tc>
          <w:tcPr>
            <w:tcW w:w="1620" w:type="dxa"/>
          </w:tcPr>
          <w:p w14:paraId="6EC66917"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Van</w:t>
            </w:r>
          </w:p>
        </w:tc>
        <w:tc>
          <w:tcPr>
            <w:tcW w:w="1440" w:type="dxa"/>
          </w:tcPr>
          <w:p w14:paraId="4CBA90BD" w14:textId="50DAC9D1"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t>2</w:t>
            </w:r>
          </w:p>
        </w:tc>
        <w:tc>
          <w:tcPr>
            <w:tcW w:w="1980" w:type="dxa"/>
          </w:tcPr>
          <w:p w14:paraId="2C4F8664" w14:textId="747D401F"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t>&lt;</w:t>
            </w:r>
            <w:r w:rsidRPr="004115D5">
              <w:t>100,000</w:t>
            </w:r>
          </w:p>
        </w:tc>
        <w:tc>
          <w:tcPr>
            <w:tcW w:w="1620" w:type="dxa"/>
          </w:tcPr>
          <w:p w14:paraId="01E37B1B" w14:textId="0411E65E"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t>1</w:t>
            </w:r>
          </w:p>
        </w:tc>
        <w:tc>
          <w:tcPr>
            <w:tcW w:w="1170" w:type="dxa"/>
          </w:tcPr>
          <w:p w14:paraId="0EF666F2"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8</w:t>
            </w:r>
          </w:p>
        </w:tc>
      </w:tr>
      <w:tr w:rsidR="003F12DA" w:rsidRPr="004115D5" w14:paraId="09DB1178"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033F96EA" w14:textId="77777777" w:rsidR="003F12DA" w:rsidRPr="004115D5" w:rsidRDefault="003F12DA" w:rsidP="003F12DA">
            <w:r w:rsidRPr="004115D5">
              <w:t>Non-Revenue Vehicles</w:t>
            </w:r>
          </w:p>
        </w:tc>
        <w:tc>
          <w:tcPr>
            <w:tcW w:w="1620" w:type="dxa"/>
          </w:tcPr>
          <w:p w14:paraId="398D2F74"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Automobile</w:t>
            </w:r>
          </w:p>
        </w:tc>
        <w:tc>
          <w:tcPr>
            <w:tcW w:w="1440" w:type="dxa"/>
          </w:tcPr>
          <w:p w14:paraId="78624191"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2</w:t>
            </w:r>
          </w:p>
        </w:tc>
        <w:tc>
          <w:tcPr>
            <w:tcW w:w="1980" w:type="dxa"/>
          </w:tcPr>
          <w:p w14:paraId="6C7A5301"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&gt;100,000</w:t>
            </w:r>
          </w:p>
        </w:tc>
        <w:tc>
          <w:tcPr>
            <w:tcW w:w="1620" w:type="dxa"/>
          </w:tcPr>
          <w:p w14:paraId="2BCF4CF8" w14:textId="3DBF566D"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1</w:t>
            </w:r>
            <w:r>
              <w:t>2</w:t>
            </w:r>
          </w:p>
        </w:tc>
        <w:tc>
          <w:tcPr>
            <w:tcW w:w="1170" w:type="dxa"/>
          </w:tcPr>
          <w:p w14:paraId="4AC88675"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8</w:t>
            </w:r>
          </w:p>
        </w:tc>
      </w:tr>
      <w:tr w:rsidR="003F12DA" w:rsidRPr="004115D5" w14:paraId="496BA241"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3439EFB4" w14:textId="77777777" w:rsidR="003F12DA" w:rsidRPr="004115D5" w:rsidRDefault="003F12DA" w:rsidP="003F12DA"/>
        </w:tc>
        <w:tc>
          <w:tcPr>
            <w:tcW w:w="1620" w:type="dxa"/>
          </w:tcPr>
          <w:p w14:paraId="2DAD8E54"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Truck</w:t>
            </w:r>
          </w:p>
        </w:tc>
        <w:tc>
          <w:tcPr>
            <w:tcW w:w="1440" w:type="dxa"/>
          </w:tcPr>
          <w:p w14:paraId="763A005B"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3</w:t>
            </w:r>
          </w:p>
        </w:tc>
        <w:tc>
          <w:tcPr>
            <w:tcW w:w="1980" w:type="dxa"/>
          </w:tcPr>
          <w:p w14:paraId="2A2CAD14"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N/A</w:t>
            </w:r>
          </w:p>
        </w:tc>
        <w:tc>
          <w:tcPr>
            <w:tcW w:w="1620" w:type="dxa"/>
          </w:tcPr>
          <w:p w14:paraId="0EF8A239" w14:textId="706368DD"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1</w:t>
            </w:r>
            <w:r>
              <w:t>3</w:t>
            </w:r>
          </w:p>
        </w:tc>
        <w:tc>
          <w:tcPr>
            <w:tcW w:w="1170" w:type="dxa"/>
          </w:tcPr>
          <w:p w14:paraId="737422E5"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8</w:t>
            </w:r>
          </w:p>
        </w:tc>
      </w:tr>
      <w:tr w:rsidR="003F12DA" w:rsidRPr="004115D5" w14:paraId="2EC5BF3A"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413C6337" w14:textId="77777777" w:rsidR="003F12DA" w:rsidRPr="004115D5" w:rsidRDefault="003F12DA" w:rsidP="003F12DA">
            <w:r w:rsidRPr="004115D5">
              <w:t>Spare Vehicles</w:t>
            </w:r>
          </w:p>
        </w:tc>
        <w:tc>
          <w:tcPr>
            <w:tcW w:w="1620" w:type="dxa"/>
          </w:tcPr>
          <w:p w14:paraId="44B71962"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Bus</w:t>
            </w:r>
          </w:p>
        </w:tc>
        <w:tc>
          <w:tcPr>
            <w:tcW w:w="1440" w:type="dxa"/>
          </w:tcPr>
          <w:p w14:paraId="3F55ADBA"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6</w:t>
            </w:r>
          </w:p>
        </w:tc>
        <w:tc>
          <w:tcPr>
            <w:tcW w:w="1980" w:type="dxa"/>
          </w:tcPr>
          <w:p w14:paraId="54F68C57"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N/A</w:t>
            </w:r>
          </w:p>
        </w:tc>
        <w:tc>
          <w:tcPr>
            <w:tcW w:w="1620" w:type="dxa"/>
          </w:tcPr>
          <w:p w14:paraId="1172C24C" w14:textId="30BADB40"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t>10</w:t>
            </w:r>
          </w:p>
        </w:tc>
        <w:tc>
          <w:tcPr>
            <w:tcW w:w="1170" w:type="dxa"/>
          </w:tcPr>
          <w:p w14:paraId="7A94852B" w14:textId="77777777" w:rsidR="003F12DA" w:rsidRPr="004115D5" w:rsidRDefault="003F12DA" w:rsidP="003F12DA">
            <w:pPr>
              <w:cnfStyle w:val="000000010000" w:firstRow="0" w:lastRow="0" w:firstColumn="0" w:lastColumn="0" w:oddVBand="0" w:evenVBand="0" w:oddHBand="0" w:evenHBand="1" w:firstRowFirstColumn="0" w:firstRowLastColumn="0" w:lastRowFirstColumn="0" w:lastRowLastColumn="0"/>
            </w:pPr>
            <w:r w:rsidRPr="004115D5">
              <w:t>14</w:t>
            </w:r>
          </w:p>
        </w:tc>
      </w:tr>
      <w:tr w:rsidR="003F12DA" w:rsidRPr="004115D5" w14:paraId="612E484C"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7345F09B" w14:textId="77777777" w:rsidR="003F12DA" w:rsidRPr="004115D5" w:rsidRDefault="003F12DA" w:rsidP="003F12DA"/>
        </w:tc>
        <w:tc>
          <w:tcPr>
            <w:tcW w:w="1620" w:type="dxa"/>
          </w:tcPr>
          <w:p w14:paraId="5D2C50A9"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Van</w:t>
            </w:r>
          </w:p>
        </w:tc>
        <w:tc>
          <w:tcPr>
            <w:tcW w:w="1440" w:type="dxa"/>
          </w:tcPr>
          <w:p w14:paraId="081F4208" w14:textId="0B79EE8F"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t>5</w:t>
            </w:r>
          </w:p>
        </w:tc>
        <w:tc>
          <w:tcPr>
            <w:tcW w:w="1980" w:type="dxa"/>
          </w:tcPr>
          <w:p w14:paraId="3234F031"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&gt;100,000</w:t>
            </w:r>
          </w:p>
        </w:tc>
        <w:tc>
          <w:tcPr>
            <w:tcW w:w="1620" w:type="dxa"/>
          </w:tcPr>
          <w:p w14:paraId="33EF65FD" w14:textId="5FC1A24A"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t>8</w:t>
            </w:r>
          </w:p>
        </w:tc>
        <w:tc>
          <w:tcPr>
            <w:tcW w:w="1170" w:type="dxa"/>
          </w:tcPr>
          <w:p w14:paraId="02285AC1" w14:textId="77777777" w:rsidR="003F12DA" w:rsidRPr="004115D5" w:rsidRDefault="003F12DA" w:rsidP="003F12DA">
            <w:pPr>
              <w:cnfStyle w:val="000000100000" w:firstRow="0" w:lastRow="0" w:firstColumn="0" w:lastColumn="0" w:oddVBand="0" w:evenVBand="0" w:oddHBand="1" w:evenHBand="0" w:firstRowFirstColumn="0" w:firstRowLastColumn="0" w:lastRowFirstColumn="0" w:lastRowLastColumn="0"/>
            </w:pPr>
            <w:r w:rsidRPr="004115D5">
              <w:t>8</w:t>
            </w:r>
          </w:p>
        </w:tc>
      </w:tr>
    </w:tbl>
    <w:p w14:paraId="47986F91" w14:textId="77777777" w:rsidR="00D875A0" w:rsidRDefault="00D875A0" w:rsidP="006243B0">
      <w:pPr>
        <w:spacing w:after="0"/>
      </w:pPr>
    </w:p>
    <w:p w14:paraId="3DFCE3FE" w14:textId="77777777" w:rsidR="00D875A0" w:rsidRDefault="00D875A0" w:rsidP="006243B0">
      <w:pPr>
        <w:pStyle w:val="Heading5"/>
      </w:pPr>
      <w:r>
        <w:t>Equipment and Facility</w:t>
      </w:r>
    </w:p>
    <w:p w14:paraId="29C36AB4" w14:textId="77777777" w:rsidR="00D875A0" w:rsidRDefault="00D875A0" w:rsidP="00D875A0">
      <w:r>
        <w:t>FTA requires only equipment or facilities over a threshold value of $50,000 to be reported. For the equipment asset category, one fueling station, one bus wash, and six items of maintenance equipment supporting BMT transit service</w:t>
      </w:r>
      <w:r w:rsidR="00CE74B3">
        <w:t xml:space="preserve"> were inventoried</w:t>
      </w:r>
      <w:r>
        <w:t xml:space="preserve">. </w:t>
      </w:r>
    </w:p>
    <w:p w14:paraId="48E156A7" w14:textId="1AEACF3A" w:rsidR="00D875A0" w:rsidRDefault="00D875A0" w:rsidP="00D875A0">
      <w:r>
        <w:t xml:space="preserve">Supporting facilities include offices for receiving calls, booking trips, and </w:t>
      </w:r>
      <w:r w:rsidR="00CE74B3" w:rsidRPr="00CE74B3">
        <w:t>dispatching</w:t>
      </w:r>
      <w:r w:rsidR="00CE74B3">
        <w:t xml:space="preserve"> </w:t>
      </w:r>
      <w:r>
        <w:t xml:space="preserve">vehicles, and are therefore as critical to operations as the vehicles themselves. Other facilities include storage sheds, bus shelters, and bus barns. Currently, two transit facilities were reported by BMT. One is an administration </w:t>
      </w:r>
      <w:r w:rsidR="00CE74B3">
        <w:t>office and maintenance</w:t>
      </w:r>
      <w:r>
        <w:t xml:space="preserve"> shop/yard, which has been in service since 1977. The other one is the Dannenbaum Station, which serves as a transit center for BMT transit service. This station was built in 2008. </w:t>
      </w:r>
    </w:p>
    <w:p w14:paraId="07C627A7" w14:textId="77777777" w:rsidR="00D875A0" w:rsidRDefault="00D875A0" w:rsidP="00D875A0">
      <w:r w:rsidRPr="006243B0">
        <w:rPr>
          <w:b/>
        </w:rPr>
        <w:t>Table 2</w:t>
      </w:r>
      <w:r>
        <w:t xml:space="preserve"> depicts the equipment and facility inventory of the BMT transit program. </w:t>
      </w:r>
    </w:p>
    <w:p w14:paraId="57EBE31F" w14:textId="77777777" w:rsidR="00D875A0" w:rsidRPr="006243B0" w:rsidRDefault="00D875A0" w:rsidP="006243B0">
      <w:pPr>
        <w:jc w:val="center"/>
        <w:rPr>
          <w:rStyle w:val="SubtleReference"/>
        </w:rPr>
      </w:pPr>
      <w:r w:rsidRPr="006243B0">
        <w:rPr>
          <w:rStyle w:val="SubtleReference"/>
        </w:rPr>
        <w:t>Table 2: Equipment and Facility Inventory</w:t>
      </w:r>
    </w:p>
    <w:tbl>
      <w:tblPr>
        <w:tblStyle w:val="Style2"/>
        <w:tblW w:w="0" w:type="auto"/>
        <w:tblInd w:w="5" w:type="dxa"/>
        <w:tblLook w:val="04A0" w:firstRow="1" w:lastRow="0" w:firstColumn="1" w:lastColumn="0" w:noHBand="0" w:noVBand="1"/>
      </w:tblPr>
      <w:tblGrid>
        <w:gridCol w:w="1795"/>
        <w:gridCol w:w="1620"/>
        <w:gridCol w:w="3780"/>
        <w:gridCol w:w="1170"/>
        <w:gridCol w:w="985"/>
      </w:tblGrid>
      <w:tr w:rsidR="006243B0" w:rsidRPr="006243B0" w14:paraId="791334AF" w14:textId="77777777" w:rsidTr="006604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p w14:paraId="0F74F19C" w14:textId="77777777" w:rsidR="006243B0" w:rsidRPr="006243B0" w:rsidRDefault="006243B0" w:rsidP="00B412C7">
            <w:r w:rsidRPr="006243B0">
              <w:t>Asset Category</w:t>
            </w:r>
          </w:p>
        </w:tc>
        <w:tc>
          <w:tcPr>
            <w:tcW w:w="1620" w:type="dxa"/>
          </w:tcPr>
          <w:p w14:paraId="14659CE1" w14:textId="77777777" w:rsidR="006243B0" w:rsidRPr="006243B0" w:rsidRDefault="006243B0" w:rsidP="00B412C7">
            <w:pPr>
              <w:cnfStyle w:val="100000000000" w:firstRow="1" w:lastRow="0" w:firstColumn="0" w:lastColumn="0" w:oddVBand="0" w:evenVBand="0" w:oddHBand="0" w:evenHBand="0" w:firstRowFirstColumn="0" w:firstRowLastColumn="0" w:lastRowFirstColumn="0" w:lastRowLastColumn="0"/>
            </w:pPr>
            <w:r w:rsidRPr="006243B0">
              <w:t>Asset Class</w:t>
            </w:r>
          </w:p>
        </w:tc>
        <w:tc>
          <w:tcPr>
            <w:tcW w:w="3780" w:type="dxa"/>
          </w:tcPr>
          <w:p w14:paraId="194027DA" w14:textId="77777777" w:rsidR="006243B0" w:rsidRPr="006243B0" w:rsidRDefault="006243B0" w:rsidP="00B412C7">
            <w:pPr>
              <w:cnfStyle w:val="100000000000" w:firstRow="1" w:lastRow="0" w:firstColumn="0" w:lastColumn="0" w:oddVBand="0" w:evenVBand="0" w:oddHBand="0" w:evenHBand="0" w:firstRowFirstColumn="0" w:firstRowLastColumn="0" w:lastRowFirstColumn="0" w:lastRowLastColumn="0"/>
            </w:pPr>
            <w:r w:rsidRPr="006243B0">
              <w:t>Asset Type</w:t>
            </w:r>
          </w:p>
        </w:tc>
        <w:tc>
          <w:tcPr>
            <w:tcW w:w="1170" w:type="dxa"/>
          </w:tcPr>
          <w:p w14:paraId="4D458DF1" w14:textId="77777777" w:rsidR="006243B0" w:rsidRPr="006243B0" w:rsidRDefault="006243B0" w:rsidP="00B412C7">
            <w:pPr>
              <w:cnfStyle w:val="100000000000" w:firstRow="1" w:lastRow="0" w:firstColumn="0" w:lastColumn="0" w:oddVBand="0" w:evenVBand="0" w:oddHBand="0" w:evenHBand="0" w:firstRowFirstColumn="0" w:firstRowLastColumn="0" w:lastRowFirstColumn="0" w:lastRowLastColumn="0"/>
            </w:pPr>
            <w:r w:rsidRPr="006243B0">
              <w:t>In-Service Year</w:t>
            </w:r>
          </w:p>
        </w:tc>
        <w:tc>
          <w:tcPr>
            <w:tcW w:w="985" w:type="dxa"/>
          </w:tcPr>
          <w:p w14:paraId="006335CA" w14:textId="77777777" w:rsidR="006243B0" w:rsidRPr="006243B0" w:rsidRDefault="006243B0" w:rsidP="00B412C7">
            <w:pPr>
              <w:cnfStyle w:val="100000000000" w:firstRow="1" w:lastRow="0" w:firstColumn="0" w:lastColumn="0" w:oddVBand="0" w:evenVBand="0" w:oddHBand="0" w:evenHBand="0" w:firstRowFirstColumn="0" w:firstRowLastColumn="0" w:lastRowFirstColumn="0" w:lastRowLastColumn="0"/>
            </w:pPr>
            <w:r w:rsidRPr="006243B0">
              <w:t xml:space="preserve">Asset Age </w:t>
            </w:r>
          </w:p>
        </w:tc>
      </w:tr>
      <w:tr w:rsidR="006243B0" w:rsidRPr="006243B0" w14:paraId="52F9527E"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70D92784" w14:textId="77777777" w:rsidR="006243B0" w:rsidRPr="006243B0" w:rsidRDefault="006243B0" w:rsidP="00B412C7">
            <w:r w:rsidRPr="006243B0">
              <w:t>BMT Equipment</w:t>
            </w:r>
          </w:p>
        </w:tc>
        <w:tc>
          <w:tcPr>
            <w:tcW w:w="1620" w:type="dxa"/>
            <w:vMerge w:val="restart"/>
          </w:tcPr>
          <w:p w14:paraId="55CDEA9D"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Maintenance Equipment</w:t>
            </w:r>
          </w:p>
        </w:tc>
        <w:tc>
          <w:tcPr>
            <w:tcW w:w="3780" w:type="dxa"/>
          </w:tcPr>
          <w:p w14:paraId="57AE6605"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Star Transromantic Brake Lathe</w:t>
            </w:r>
          </w:p>
        </w:tc>
        <w:tc>
          <w:tcPr>
            <w:tcW w:w="1170" w:type="dxa"/>
          </w:tcPr>
          <w:p w14:paraId="588CB79D"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1977</w:t>
            </w:r>
          </w:p>
        </w:tc>
        <w:tc>
          <w:tcPr>
            <w:tcW w:w="985" w:type="dxa"/>
          </w:tcPr>
          <w:p w14:paraId="296CEE29" w14:textId="227BCF85" w:rsidR="006243B0" w:rsidRPr="006243B0" w:rsidRDefault="002D3C54" w:rsidP="00B412C7">
            <w:pPr>
              <w:cnfStyle w:val="000000100000" w:firstRow="0" w:lastRow="0" w:firstColumn="0" w:lastColumn="0" w:oddVBand="0" w:evenVBand="0" w:oddHBand="1" w:evenHBand="0" w:firstRowFirstColumn="0" w:firstRowLastColumn="0" w:lastRowFirstColumn="0" w:lastRowLastColumn="0"/>
            </w:pPr>
            <w:r w:rsidRPr="006243B0">
              <w:t>4</w:t>
            </w:r>
            <w:r>
              <w:t>1</w:t>
            </w:r>
          </w:p>
        </w:tc>
      </w:tr>
      <w:tr w:rsidR="006243B0" w:rsidRPr="006243B0" w14:paraId="32AEE7D6"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41DE7D12" w14:textId="77777777" w:rsidR="006243B0" w:rsidRPr="006243B0" w:rsidRDefault="006243B0" w:rsidP="00B412C7"/>
        </w:tc>
        <w:tc>
          <w:tcPr>
            <w:tcW w:w="1620" w:type="dxa"/>
            <w:vMerge/>
          </w:tcPr>
          <w:p w14:paraId="0F70F874"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p>
        </w:tc>
        <w:tc>
          <w:tcPr>
            <w:tcW w:w="3780" w:type="dxa"/>
          </w:tcPr>
          <w:p w14:paraId="7BF8369B"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Owatonna 100 Ton Hydraulic Press</w:t>
            </w:r>
          </w:p>
        </w:tc>
        <w:tc>
          <w:tcPr>
            <w:tcW w:w="1170" w:type="dxa"/>
          </w:tcPr>
          <w:p w14:paraId="7C53C88C"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1977</w:t>
            </w:r>
          </w:p>
        </w:tc>
        <w:tc>
          <w:tcPr>
            <w:tcW w:w="985" w:type="dxa"/>
          </w:tcPr>
          <w:p w14:paraId="3541A6F5" w14:textId="02D4E49B" w:rsidR="006243B0" w:rsidRPr="006243B0" w:rsidRDefault="002D3C54" w:rsidP="00B412C7">
            <w:pPr>
              <w:cnfStyle w:val="000000010000" w:firstRow="0" w:lastRow="0" w:firstColumn="0" w:lastColumn="0" w:oddVBand="0" w:evenVBand="0" w:oddHBand="0" w:evenHBand="1" w:firstRowFirstColumn="0" w:firstRowLastColumn="0" w:lastRowFirstColumn="0" w:lastRowLastColumn="0"/>
            </w:pPr>
            <w:r w:rsidRPr="006243B0">
              <w:t>4</w:t>
            </w:r>
            <w:r>
              <w:t>1</w:t>
            </w:r>
          </w:p>
        </w:tc>
      </w:tr>
      <w:tr w:rsidR="006243B0" w:rsidRPr="006243B0" w14:paraId="4F34AE27"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7B00C69E" w14:textId="77777777" w:rsidR="006243B0" w:rsidRPr="006243B0" w:rsidRDefault="006243B0" w:rsidP="00B412C7"/>
        </w:tc>
        <w:tc>
          <w:tcPr>
            <w:tcW w:w="1620" w:type="dxa"/>
            <w:vMerge/>
          </w:tcPr>
          <w:p w14:paraId="67D09F58"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p>
        </w:tc>
        <w:tc>
          <w:tcPr>
            <w:tcW w:w="3780" w:type="dxa"/>
          </w:tcPr>
          <w:p w14:paraId="497DEE3A"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Snap On 134A Refrigerant Recycler</w:t>
            </w:r>
          </w:p>
        </w:tc>
        <w:tc>
          <w:tcPr>
            <w:tcW w:w="1170" w:type="dxa"/>
          </w:tcPr>
          <w:p w14:paraId="7F28F930"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1994</w:t>
            </w:r>
          </w:p>
        </w:tc>
        <w:tc>
          <w:tcPr>
            <w:tcW w:w="985" w:type="dxa"/>
          </w:tcPr>
          <w:p w14:paraId="61ECA9A3" w14:textId="3C52C621" w:rsidR="006243B0" w:rsidRPr="006243B0" w:rsidRDefault="002D3C54" w:rsidP="00B412C7">
            <w:pPr>
              <w:cnfStyle w:val="000000100000" w:firstRow="0" w:lastRow="0" w:firstColumn="0" w:lastColumn="0" w:oddVBand="0" w:evenVBand="0" w:oddHBand="1" w:evenHBand="0" w:firstRowFirstColumn="0" w:firstRowLastColumn="0" w:lastRowFirstColumn="0" w:lastRowLastColumn="0"/>
            </w:pPr>
            <w:r w:rsidRPr="006243B0">
              <w:t>2</w:t>
            </w:r>
            <w:r>
              <w:t>4</w:t>
            </w:r>
          </w:p>
        </w:tc>
      </w:tr>
      <w:tr w:rsidR="006243B0" w:rsidRPr="006243B0" w14:paraId="354E39F0"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3309E323" w14:textId="77777777" w:rsidR="006243B0" w:rsidRPr="006243B0" w:rsidRDefault="006243B0" w:rsidP="00B412C7"/>
        </w:tc>
        <w:tc>
          <w:tcPr>
            <w:tcW w:w="1620" w:type="dxa"/>
            <w:vMerge/>
          </w:tcPr>
          <w:p w14:paraId="1D5B8ECF"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p>
        </w:tc>
        <w:tc>
          <w:tcPr>
            <w:tcW w:w="3780" w:type="dxa"/>
          </w:tcPr>
          <w:p w14:paraId="5C824D8D"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Tenant Sweep and Scrub</w:t>
            </w:r>
          </w:p>
        </w:tc>
        <w:tc>
          <w:tcPr>
            <w:tcW w:w="1170" w:type="dxa"/>
          </w:tcPr>
          <w:p w14:paraId="0DE5F676"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2003</w:t>
            </w:r>
          </w:p>
        </w:tc>
        <w:tc>
          <w:tcPr>
            <w:tcW w:w="985" w:type="dxa"/>
          </w:tcPr>
          <w:p w14:paraId="4A2CD758" w14:textId="4E87C631" w:rsidR="006243B0" w:rsidRPr="006243B0" w:rsidRDefault="002D3C54" w:rsidP="00B412C7">
            <w:pPr>
              <w:cnfStyle w:val="000000010000" w:firstRow="0" w:lastRow="0" w:firstColumn="0" w:lastColumn="0" w:oddVBand="0" w:evenVBand="0" w:oddHBand="0" w:evenHBand="1" w:firstRowFirstColumn="0" w:firstRowLastColumn="0" w:lastRowFirstColumn="0" w:lastRowLastColumn="0"/>
            </w:pPr>
            <w:r w:rsidRPr="006243B0">
              <w:t>1</w:t>
            </w:r>
            <w:r>
              <w:t>5</w:t>
            </w:r>
          </w:p>
        </w:tc>
      </w:tr>
      <w:tr w:rsidR="006243B0" w:rsidRPr="006243B0" w14:paraId="06C37C05"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15118667" w14:textId="77777777" w:rsidR="006243B0" w:rsidRPr="006243B0" w:rsidRDefault="006243B0" w:rsidP="00B412C7"/>
        </w:tc>
        <w:tc>
          <w:tcPr>
            <w:tcW w:w="1620" w:type="dxa"/>
            <w:vMerge/>
          </w:tcPr>
          <w:p w14:paraId="5C5DEB91"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p>
        </w:tc>
        <w:tc>
          <w:tcPr>
            <w:tcW w:w="3780" w:type="dxa"/>
          </w:tcPr>
          <w:p w14:paraId="1A2304D3"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Hyster H12XM Forklift</w:t>
            </w:r>
          </w:p>
        </w:tc>
        <w:tc>
          <w:tcPr>
            <w:tcW w:w="1170" w:type="dxa"/>
          </w:tcPr>
          <w:p w14:paraId="4C7CE2C0"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2004</w:t>
            </w:r>
          </w:p>
        </w:tc>
        <w:tc>
          <w:tcPr>
            <w:tcW w:w="985" w:type="dxa"/>
          </w:tcPr>
          <w:p w14:paraId="6E13C041" w14:textId="49CB2D5A" w:rsidR="006243B0" w:rsidRPr="006243B0" w:rsidRDefault="002D3C54" w:rsidP="00B412C7">
            <w:pPr>
              <w:cnfStyle w:val="000000100000" w:firstRow="0" w:lastRow="0" w:firstColumn="0" w:lastColumn="0" w:oddVBand="0" w:evenVBand="0" w:oddHBand="1" w:evenHBand="0" w:firstRowFirstColumn="0" w:firstRowLastColumn="0" w:lastRowFirstColumn="0" w:lastRowLastColumn="0"/>
            </w:pPr>
            <w:r w:rsidRPr="006243B0">
              <w:t>1</w:t>
            </w:r>
            <w:r>
              <w:t>4</w:t>
            </w:r>
          </w:p>
        </w:tc>
      </w:tr>
      <w:tr w:rsidR="006243B0" w:rsidRPr="006243B0" w14:paraId="532D60EE"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14798FC8" w14:textId="77777777" w:rsidR="006243B0" w:rsidRPr="006243B0" w:rsidRDefault="006243B0" w:rsidP="00B412C7"/>
        </w:tc>
        <w:tc>
          <w:tcPr>
            <w:tcW w:w="1620" w:type="dxa"/>
            <w:vMerge/>
          </w:tcPr>
          <w:p w14:paraId="168D9578"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p>
        </w:tc>
        <w:tc>
          <w:tcPr>
            <w:tcW w:w="3780" w:type="dxa"/>
          </w:tcPr>
          <w:p w14:paraId="50ABDDB5"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ARI HEDRA Portable Lift System</w:t>
            </w:r>
          </w:p>
        </w:tc>
        <w:tc>
          <w:tcPr>
            <w:tcW w:w="1170" w:type="dxa"/>
          </w:tcPr>
          <w:p w14:paraId="6C653CAC"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2010</w:t>
            </w:r>
          </w:p>
        </w:tc>
        <w:tc>
          <w:tcPr>
            <w:tcW w:w="985" w:type="dxa"/>
          </w:tcPr>
          <w:p w14:paraId="02D57D1D" w14:textId="1297B096" w:rsidR="006243B0" w:rsidRPr="006243B0" w:rsidRDefault="002D3C54" w:rsidP="00B412C7">
            <w:pPr>
              <w:cnfStyle w:val="000000010000" w:firstRow="0" w:lastRow="0" w:firstColumn="0" w:lastColumn="0" w:oddVBand="0" w:evenVBand="0" w:oddHBand="0" w:evenHBand="1" w:firstRowFirstColumn="0" w:firstRowLastColumn="0" w:lastRowFirstColumn="0" w:lastRowLastColumn="0"/>
            </w:pPr>
            <w:r>
              <w:t>8</w:t>
            </w:r>
          </w:p>
        </w:tc>
      </w:tr>
      <w:tr w:rsidR="006243B0" w:rsidRPr="006243B0" w14:paraId="020E026E"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0EEC686D" w14:textId="77777777" w:rsidR="006243B0" w:rsidRPr="006243B0" w:rsidRDefault="006243B0" w:rsidP="00B412C7"/>
        </w:tc>
        <w:tc>
          <w:tcPr>
            <w:tcW w:w="1620" w:type="dxa"/>
          </w:tcPr>
          <w:p w14:paraId="1E6EDF89"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Bus Washer</w:t>
            </w:r>
          </w:p>
        </w:tc>
        <w:tc>
          <w:tcPr>
            <w:tcW w:w="3780" w:type="dxa"/>
          </w:tcPr>
          <w:p w14:paraId="1E825E9E"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Bus Washer</w:t>
            </w:r>
          </w:p>
        </w:tc>
        <w:tc>
          <w:tcPr>
            <w:tcW w:w="1170" w:type="dxa"/>
          </w:tcPr>
          <w:p w14:paraId="0A7490B2"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2011</w:t>
            </w:r>
          </w:p>
        </w:tc>
        <w:tc>
          <w:tcPr>
            <w:tcW w:w="985" w:type="dxa"/>
          </w:tcPr>
          <w:p w14:paraId="34DFA01B" w14:textId="605E2AA1" w:rsidR="006243B0" w:rsidRPr="006243B0" w:rsidRDefault="002D3C54" w:rsidP="00B412C7">
            <w:pPr>
              <w:cnfStyle w:val="000000100000" w:firstRow="0" w:lastRow="0" w:firstColumn="0" w:lastColumn="0" w:oddVBand="0" w:evenVBand="0" w:oddHBand="1" w:evenHBand="0" w:firstRowFirstColumn="0" w:firstRowLastColumn="0" w:lastRowFirstColumn="0" w:lastRowLastColumn="0"/>
            </w:pPr>
            <w:r>
              <w:t>7</w:t>
            </w:r>
          </w:p>
        </w:tc>
      </w:tr>
      <w:tr w:rsidR="006243B0" w:rsidRPr="006243B0" w14:paraId="465AAD57"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6E7FE889" w14:textId="77777777" w:rsidR="006243B0" w:rsidRPr="006243B0" w:rsidRDefault="006243B0" w:rsidP="00B412C7"/>
        </w:tc>
        <w:tc>
          <w:tcPr>
            <w:tcW w:w="1620" w:type="dxa"/>
          </w:tcPr>
          <w:p w14:paraId="3C08C0EA"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Fueling Station</w:t>
            </w:r>
          </w:p>
        </w:tc>
        <w:tc>
          <w:tcPr>
            <w:tcW w:w="3780" w:type="dxa"/>
          </w:tcPr>
          <w:p w14:paraId="36DDA634"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Pinnacle CNG Fast Fill Fueling Station</w:t>
            </w:r>
          </w:p>
        </w:tc>
        <w:tc>
          <w:tcPr>
            <w:tcW w:w="1170" w:type="dxa"/>
          </w:tcPr>
          <w:p w14:paraId="703DE085"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2008</w:t>
            </w:r>
          </w:p>
        </w:tc>
        <w:tc>
          <w:tcPr>
            <w:tcW w:w="985" w:type="dxa"/>
          </w:tcPr>
          <w:p w14:paraId="10DB4109" w14:textId="17964EEA" w:rsidR="006243B0" w:rsidRPr="006243B0" w:rsidRDefault="002D3C54" w:rsidP="00B412C7">
            <w:pPr>
              <w:cnfStyle w:val="000000010000" w:firstRow="0" w:lastRow="0" w:firstColumn="0" w:lastColumn="0" w:oddVBand="0" w:evenVBand="0" w:oddHBand="0" w:evenHBand="1" w:firstRowFirstColumn="0" w:firstRowLastColumn="0" w:lastRowFirstColumn="0" w:lastRowLastColumn="0"/>
            </w:pPr>
            <w:r>
              <w:t>10</w:t>
            </w:r>
          </w:p>
        </w:tc>
      </w:tr>
      <w:tr w:rsidR="006243B0" w:rsidRPr="006243B0" w14:paraId="2CB7D350"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1FB8CFDA" w14:textId="77777777" w:rsidR="006243B0" w:rsidRPr="006243B0" w:rsidRDefault="006243B0" w:rsidP="00B412C7">
            <w:r w:rsidRPr="006243B0">
              <w:lastRenderedPageBreak/>
              <w:t>BMT Facility</w:t>
            </w:r>
          </w:p>
        </w:tc>
        <w:tc>
          <w:tcPr>
            <w:tcW w:w="1620" w:type="dxa"/>
          </w:tcPr>
          <w:p w14:paraId="100AB198"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 xml:space="preserve">Supporting Facility </w:t>
            </w:r>
          </w:p>
        </w:tc>
        <w:tc>
          <w:tcPr>
            <w:tcW w:w="3780" w:type="dxa"/>
          </w:tcPr>
          <w:p w14:paraId="054BCE11"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 xml:space="preserve">Transit Administrative Offices and Maintenance shop/yard </w:t>
            </w:r>
          </w:p>
        </w:tc>
        <w:tc>
          <w:tcPr>
            <w:tcW w:w="1170" w:type="dxa"/>
          </w:tcPr>
          <w:p w14:paraId="482D1E58" w14:textId="77777777" w:rsidR="006243B0" w:rsidRPr="006243B0" w:rsidRDefault="006243B0" w:rsidP="00B412C7">
            <w:pPr>
              <w:cnfStyle w:val="000000100000" w:firstRow="0" w:lastRow="0" w:firstColumn="0" w:lastColumn="0" w:oddVBand="0" w:evenVBand="0" w:oddHBand="1" w:evenHBand="0" w:firstRowFirstColumn="0" w:firstRowLastColumn="0" w:lastRowFirstColumn="0" w:lastRowLastColumn="0"/>
            </w:pPr>
            <w:r w:rsidRPr="006243B0">
              <w:t>1977</w:t>
            </w:r>
          </w:p>
        </w:tc>
        <w:tc>
          <w:tcPr>
            <w:tcW w:w="985" w:type="dxa"/>
          </w:tcPr>
          <w:p w14:paraId="05F1EA58" w14:textId="7C5E141C" w:rsidR="006243B0" w:rsidRPr="006243B0" w:rsidRDefault="002D3C54" w:rsidP="00B412C7">
            <w:pPr>
              <w:cnfStyle w:val="000000100000" w:firstRow="0" w:lastRow="0" w:firstColumn="0" w:lastColumn="0" w:oddVBand="0" w:evenVBand="0" w:oddHBand="1" w:evenHBand="0" w:firstRowFirstColumn="0" w:firstRowLastColumn="0" w:lastRowFirstColumn="0" w:lastRowLastColumn="0"/>
            </w:pPr>
            <w:r w:rsidRPr="006243B0">
              <w:t>4</w:t>
            </w:r>
            <w:r>
              <w:t>1</w:t>
            </w:r>
          </w:p>
        </w:tc>
      </w:tr>
      <w:tr w:rsidR="006243B0" w:rsidRPr="006243B0" w14:paraId="26D16B00"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tcPr>
          <w:p w14:paraId="23327763" w14:textId="77777777" w:rsidR="006243B0" w:rsidRPr="006243B0" w:rsidRDefault="006243B0" w:rsidP="00B412C7"/>
        </w:tc>
        <w:tc>
          <w:tcPr>
            <w:tcW w:w="1620" w:type="dxa"/>
          </w:tcPr>
          <w:p w14:paraId="621AC3D7"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 xml:space="preserve">Passenger Facility </w:t>
            </w:r>
          </w:p>
        </w:tc>
        <w:tc>
          <w:tcPr>
            <w:tcW w:w="3780" w:type="dxa"/>
          </w:tcPr>
          <w:p w14:paraId="37D7F5C2"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Dannenbaum Station (Central Transfer Point)</w:t>
            </w:r>
          </w:p>
        </w:tc>
        <w:tc>
          <w:tcPr>
            <w:tcW w:w="1170" w:type="dxa"/>
          </w:tcPr>
          <w:p w14:paraId="72FBE778" w14:textId="77777777"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1997</w:t>
            </w:r>
          </w:p>
        </w:tc>
        <w:tc>
          <w:tcPr>
            <w:tcW w:w="985" w:type="dxa"/>
          </w:tcPr>
          <w:p w14:paraId="44EBD82F" w14:textId="403683B6" w:rsidR="006243B0" w:rsidRPr="006243B0" w:rsidRDefault="006243B0" w:rsidP="00B412C7">
            <w:pPr>
              <w:cnfStyle w:val="000000010000" w:firstRow="0" w:lastRow="0" w:firstColumn="0" w:lastColumn="0" w:oddVBand="0" w:evenVBand="0" w:oddHBand="0" w:evenHBand="1" w:firstRowFirstColumn="0" w:firstRowLastColumn="0" w:lastRowFirstColumn="0" w:lastRowLastColumn="0"/>
            </w:pPr>
            <w:r w:rsidRPr="006243B0">
              <w:t>2</w:t>
            </w:r>
            <w:r w:rsidR="002D3C54">
              <w:t>1</w:t>
            </w:r>
          </w:p>
        </w:tc>
      </w:tr>
    </w:tbl>
    <w:p w14:paraId="4B02B65E" w14:textId="77777777" w:rsidR="00D875A0" w:rsidRDefault="00D875A0" w:rsidP="00B239F7">
      <w:pPr>
        <w:spacing w:after="0"/>
      </w:pPr>
    </w:p>
    <w:p w14:paraId="421B060C" w14:textId="77777777" w:rsidR="00D875A0" w:rsidRDefault="00D875A0" w:rsidP="0066042F">
      <w:pPr>
        <w:pStyle w:val="Heading4"/>
      </w:pPr>
      <w:r>
        <w:t xml:space="preserve">CONDITION ASSESSMENT </w:t>
      </w:r>
    </w:p>
    <w:p w14:paraId="21C3C24B" w14:textId="77777777" w:rsidR="00D875A0" w:rsidRDefault="00D875A0" w:rsidP="0066042F">
      <w:pPr>
        <w:pStyle w:val="Heading5"/>
      </w:pPr>
      <w:r>
        <w:t xml:space="preserve">Condition Assessment Criteria </w:t>
      </w:r>
    </w:p>
    <w:p w14:paraId="6E01791B" w14:textId="77777777" w:rsidR="00D875A0" w:rsidRDefault="00D875A0" w:rsidP="0066042F">
      <w:pPr>
        <w:pStyle w:val="Heading6"/>
      </w:pPr>
      <w:r>
        <w:t xml:space="preserve">Vehicles Useful Life Benchmark </w:t>
      </w:r>
    </w:p>
    <w:p w14:paraId="498FF40C" w14:textId="05775389" w:rsidR="00D875A0" w:rsidRDefault="00D875A0" w:rsidP="00D875A0">
      <w:r>
        <w:t xml:space="preserve">ULB is a measure of the expected life of an asset in </w:t>
      </w:r>
      <w:proofErr w:type="gramStart"/>
      <w:r>
        <w:t>a</w:t>
      </w:r>
      <w:proofErr w:type="gramEnd"/>
      <w:r>
        <w:t xml:space="preserve"> SGR. ULB by vehicle class is the measure used to track the condition of each vehicle relative to its maximum expected service life. It estimates the age and mileage remaining for each vehicle to stay in service and still be in </w:t>
      </w:r>
      <w:proofErr w:type="gramStart"/>
      <w:r>
        <w:t>a</w:t>
      </w:r>
      <w:proofErr w:type="gramEnd"/>
      <w:r>
        <w:t xml:space="preserve"> SGR.</w:t>
      </w:r>
    </w:p>
    <w:p w14:paraId="32925849" w14:textId="4DCC6325" w:rsidR="00D875A0" w:rsidRDefault="00D875A0" w:rsidP="00D875A0">
      <w:r>
        <w:t xml:space="preserve">ULB is a useful performance measure that helps determine whether it is </w:t>
      </w:r>
      <w:r w:rsidR="00C73071">
        <w:t xml:space="preserve">more </w:t>
      </w:r>
      <w:r>
        <w:t xml:space="preserve">cost effective to continue to maintain and repair a vehicle, or whether it is preferable to replace the vehicle. When conducting the vehicle condition assessment, two types of ULB were considered: age ULB and mileage ULB. </w:t>
      </w:r>
      <w:r w:rsidRPr="0043675B">
        <w:rPr>
          <w:b/>
        </w:rPr>
        <w:t>Table 3</w:t>
      </w:r>
      <w:r>
        <w:t xml:space="preserve"> shows the default age ULBs which have been provided by FTA</w:t>
      </w:r>
      <w:r w:rsidR="00D55665">
        <w:rPr>
          <w:rStyle w:val="FootnoteReference"/>
        </w:rPr>
        <w:footnoteReference w:id="1"/>
      </w:r>
      <w:r>
        <w:t xml:space="preserve"> and the mileage ULBs by vehicle type </w:t>
      </w:r>
      <w:r w:rsidR="00C73071">
        <w:t xml:space="preserve">as </w:t>
      </w:r>
      <w:r>
        <w:t>defined by SETRPC.</w:t>
      </w:r>
    </w:p>
    <w:p w14:paraId="3351BFE3" w14:textId="77777777" w:rsidR="00D875A0" w:rsidRPr="0066042F" w:rsidRDefault="00D875A0" w:rsidP="0066042F">
      <w:pPr>
        <w:jc w:val="center"/>
        <w:rPr>
          <w:rStyle w:val="SubtleReference"/>
        </w:rPr>
      </w:pPr>
      <w:r w:rsidRPr="0066042F">
        <w:rPr>
          <w:rStyle w:val="SubtleReference"/>
        </w:rPr>
        <w:t>Table 3: Vehicle Useful Life Benchmark by Age and Mileage</w:t>
      </w:r>
    </w:p>
    <w:tbl>
      <w:tblPr>
        <w:tblStyle w:val="Style2"/>
        <w:tblW w:w="9355" w:type="dxa"/>
        <w:tblLook w:val="04A0" w:firstRow="1" w:lastRow="0" w:firstColumn="1" w:lastColumn="0" w:noHBand="0" w:noVBand="1"/>
      </w:tblPr>
      <w:tblGrid>
        <w:gridCol w:w="2139"/>
        <w:gridCol w:w="561"/>
        <w:gridCol w:w="2978"/>
        <w:gridCol w:w="1833"/>
        <w:gridCol w:w="1844"/>
      </w:tblGrid>
      <w:tr w:rsidR="0066042F" w:rsidRPr="0066042F" w14:paraId="0C21D444" w14:textId="77777777" w:rsidTr="006604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39" w:type="dxa"/>
          </w:tcPr>
          <w:p w14:paraId="623B395C" w14:textId="77777777" w:rsidR="0066042F" w:rsidRPr="00570815" w:rsidRDefault="0066042F" w:rsidP="0066042F">
            <w:r w:rsidRPr="00570815">
              <w:t>Classification</w:t>
            </w:r>
          </w:p>
        </w:tc>
        <w:tc>
          <w:tcPr>
            <w:tcW w:w="3539" w:type="dxa"/>
            <w:gridSpan w:val="2"/>
          </w:tcPr>
          <w:p w14:paraId="15146CB8" w14:textId="77777777" w:rsidR="0066042F" w:rsidRPr="00570815" w:rsidRDefault="0066042F" w:rsidP="0066042F">
            <w:pPr>
              <w:cnfStyle w:val="100000000000" w:firstRow="1" w:lastRow="0" w:firstColumn="0" w:lastColumn="0" w:oddVBand="0" w:evenVBand="0" w:oddHBand="0" w:evenHBand="0" w:firstRowFirstColumn="0" w:firstRowLastColumn="0" w:lastRowFirstColumn="0" w:lastRowLastColumn="0"/>
            </w:pPr>
            <w:r w:rsidRPr="00570815">
              <w:t>Vehicle Code and Type</w:t>
            </w:r>
          </w:p>
        </w:tc>
        <w:tc>
          <w:tcPr>
            <w:tcW w:w="1833" w:type="dxa"/>
          </w:tcPr>
          <w:p w14:paraId="4B9B90B5" w14:textId="77777777" w:rsidR="0066042F" w:rsidRPr="00570815" w:rsidRDefault="0066042F" w:rsidP="0066042F">
            <w:pPr>
              <w:cnfStyle w:val="100000000000" w:firstRow="1" w:lastRow="0" w:firstColumn="0" w:lastColumn="0" w:oddVBand="0" w:evenVBand="0" w:oddHBand="0" w:evenHBand="0" w:firstRowFirstColumn="0" w:firstRowLastColumn="0" w:lastRowFirstColumn="0" w:lastRowLastColumn="0"/>
            </w:pPr>
            <w:r w:rsidRPr="00570815">
              <w:t>Age ULB</w:t>
            </w:r>
          </w:p>
        </w:tc>
        <w:tc>
          <w:tcPr>
            <w:tcW w:w="1844" w:type="dxa"/>
          </w:tcPr>
          <w:p w14:paraId="2A0B3CA2" w14:textId="77777777" w:rsidR="0066042F" w:rsidRPr="00570815" w:rsidRDefault="0066042F" w:rsidP="0066042F">
            <w:pPr>
              <w:cnfStyle w:val="100000000000" w:firstRow="1" w:lastRow="0" w:firstColumn="0" w:lastColumn="0" w:oddVBand="0" w:evenVBand="0" w:oddHBand="0" w:evenHBand="0" w:firstRowFirstColumn="0" w:firstRowLastColumn="0" w:lastRowFirstColumn="0" w:lastRowLastColumn="0"/>
            </w:pPr>
            <w:r w:rsidRPr="00570815">
              <w:t>Mileage ULB</w:t>
            </w:r>
          </w:p>
        </w:tc>
      </w:tr>
      <w:tr w:rsidR="0066042F" w:rsidRPr="0066042F" w14:paraId="32FB432E"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val="restart"/>
          </w:tcPr>
          <w:p w14:paraId="08D8FE23" w14:textId="77777777" w:rsidR="0066042F" w:rsidRPr="0066042F" w:rsidRDefault="0066042F" w:rsidP="0066042F">
            <w:pPr>
              <w:rPr>
                <w:iCs w:val="0"/>
              </w:rPr>
            </w:pPr>
            <w:r w:rsidRPr="00570815">
              <w:t>Light Duty</w:t>
            </w:r>
          </w:p>
        </w:tc>
        <w:tc>
          <w:tcPr>
            <w:tcW w:w="561" w:type="dxa"/>
          </w:tcPr>
          <w:p w14:paraId="079A387E"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MV</w:t>
            </w:r>
          </w:p>
        </w:tc>
        <w:tc>
          <w:tcPr>
            <w:tcW w:w="2978" w:type="dxa"/>
          </w:tcPr>
          <w:p w14:paraId="427600F5"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Minivan or Conversion Van</w:t>
            </w:r>
          </w:p>
        </w:tc>
        <w:tc>
          <w:tcPr>
            <w:tcW w:w="1833" w:type="dxa"/>
          </w:tcPr>
          <w:p w14:paraId="440F7FE9"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8</w:t>
            </w:r>
          </w:p>
        </w:tc>
        <w:tc>
          <w:tcPr>
            <w:tcW w:w="1844" w:type="dxa"/>
          </w:tcPr>
          <w:p w14:paraId="21AADD5F"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100,000</w:t>
            </w:r>
          </w:p>
        </w:tc>
      </w:tr>
      <w:tr w:rsidR="0066042F" w:rsidRPr="0066042F" w14:paraId="626C8E29"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6C4D01FE" w14:textId="77777777" w:rsidR="0066042F" w:rsidRPr="00570815" w:rsidRDefault="0066042F" w:rsidP="0066042F"/>
        </w:tc>
        <w:tc>
          <w:tcPr>
            <w:tcW w:w="561" w:type="dxa"/>
          </w:tcPr>
          <w:p w14:paraId="615255A6"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VN</w:t>
            </w:r>
          </w:p>
        </w:tc>
        <w:tc>
          <w:tcPr>
            <w:tcW w:w="2978" w:type="dxa"/>
          </w:tcPr>
          <w:p w14:paraId="2EAC9C32"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Gas Extended Van</w:t>
            </w:r>
          </w:p>
        </w:tc>
        <w:tc>
          <w:tcPr>
            <w:tcW w:w="1833" w:type="dxa"/>
          </w:tcPr>
          <w:p w14:paraId="2EF0EA4E"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 xml:space="preserve"> 8</w:t>
            </w:r>
          </w:p>
        </w:tc>
        <w:tc>
          <w:tcPr>
            <w:tcW w:w="1844" w:type="dxa"/>
          </w:tcPr>
          <w:p w14:paraId="6B597864"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100,000</w:t>
            </w:r>
          </w:p>
        </w:tc>
      </w:tr>
      <w:tr w:rsidR="0066042F" w:rsidRPr="0066042F" w14:paraId="4545629E"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7996A238" w14:textId="77777777" w:rsidR="0066042F" w:rsidRPr="00570815" w:rsidRDefault="0066042F" w:rsidP="0066042F"/>
        </w:tc>
        <w:tc>
          <w:tcPr>
            <w:tcW w:w="561" w:type="dxa"/>
          </w:tcPr>
          <w:p w14:paraId="22DA2AB1"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VN</w:t>
            </w:r>
          </w:p>
        </w:tc>
        <w:tc>
          <w:tcPr>
            <w:tcW w:w="2978" w:type="dxa"/>
          </w:tcPr>
          <w:p w14:paraId="26A494F4"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Diesel Extended Van</w:t>
            </w:r>
          </w:p>
        </w:tc>
        <w:tc>
          <w:tcPr>
            <w:tcW w:w="1833" w:type="dxa"/>
          </w:tcPr>
          <w:p w14:paraId="12F32784"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 xml:space="preserve"> 8</w:t>
            </w:r>
          </w:p>
        </w:tc>
        <w:tc>
          <w:tcPr>
            <w:tcW w:w="1844" w:type="dxa"/>
          </w:tcPr>
          <w:p w14:paraId="153FA263"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150,000</w:t>
            </w:r>
          </w:p>
        </w:tc>
      </w:tr>
      <w:tr w:rsidR="0066042F" w:rsidRPr="0066042F" w14:paraId="3C364C95"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11E51926" w14:textId="77777777" w:rsidR="0066042F" w:rsidRPr="00570815" w:rsidRDefault="0066042F" w:rsidP="0066042F"/>
        </w:tc>
        <w:tc>
          <w:tcPr>
            <w:tcW w:w="561" w:type="dxa"/>
          </w:tcPr>
          <w:p w14:paraId="1D0280CD"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CU</w:t>
            </w:r>
          </w:p>
        </w:tc>
        <w:tc>
          <w:tcPr>
            <w:tcW w:w="2978" w:type="dxa"/>
          </w:tcPr>
          <w:p w14:paraId="04140295"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Gas Cutaway Bus</w:t>
            </w:r>
          </w:p>
        </w:tc>
        <w:tc>
          <w:tcPr>
            <w:tcW w:w="1833" w:type="dxa"/>
          </w:tcPr>
          <w:p w14:paraId="0EB3B3E5"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10</w:t>
            </w:r>
          </w:p>
        </w:tc>
        <w:tc>
          <w:tcPr>
            <w:tcW w:w="1844" w:type="dxa"/>
          </w:tcPr>
          <w:p w14:paraId="1F0920A6"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100,000</w:t>
            </w:r>
          </w:p>
        </w:tc>
      </w:tr>
      <w:tr w:rsidR="0066042F" w:rsidRPr="0066042F" w14:paraId="01ED09E8"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0A24C686" w14:textId="77777777" w:rsidR="0066042F" w:rsidRPr="00570815" w:rsidRDefault="0066042F" w:rsidP="0066042F"/>
        </w:tc>
        <w:tc>
          <w:tcPr>
            <w:tcW w:w="561" w:type="dxa"/>
          </w:tcPr>
          <w:p w14:paraId="3FE0C6B7"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CU</w:t>
            </w:r>
          </w:p>
        </w:tc>
        <w:tc>
          <w:tcPr>
            <w:tcW w:w="2978" w:type="dxa"/>
          </w:tcPr>
          <w:p w14:paraId="2D3431A0"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Diesel Cutaway Bus</w:t>
            </w:r>
          </w:p>
        </w:tc>
        <w:tc>
          <w:tcPr>
            <w:tcW w:w="1833" w:type="dxa"/>
          </w:tcPr>
          <w:p w14:paraId="4660841E"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10</w:t>
            </w:r>
          </w:p>
        </w:tc>
        <w:tc>
          <w:tcPr>
            <w:tcW w:w="1844" w:type="dxa"/>
          </w:tcPr>
          <w:p w14:paraId="7FB94730"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150,000</w:t>
            </w:r>
          </w:p>
        </w:tc>
      </w:tr>
      <w:tr w:rsidR="0066042F" w:rsidRPr="0066042F" w14:paraId="6B9A4E20"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7DA1BA5B" w14:textId="77777777" w:rsidR="0066042F" w:rsidRPr="00570815" w:rsidRDefault="0066042F" w:rsidP="0066042F"/>
        </w:tc>
        <w:tc>
          <w:tcPr>
            <w:tcW w:w="561" w:type="dxa"/>
          </w:tcPr>
          <w:p w14:paraId="4077344A"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CU</w:t>
            </w:r>
          </w:p>
        </w:tc>
        <w:tc>
          <w:tcPr>
            <w:tcW w:w="2978" w:type="dxa"/>
          </w:tcPr>
          <w:p w14:paraId="381DD5C6"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Low Floor Cutaway Bus</w:t>
            </w:r>
          </w:p>
        </w:tc>
        <w:tc>
          <w:tcPr>
            <w:tcW w:w="1833" w:type="dxa"/>
          </w:tcPr>
          <w:p w14:paraId="6B9ECD11"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10</w:t>
            </w:r>
          </w:p>
        </w:tc>
        <w:tc>
          <w:tcPr>
            <w:tcW w:w="1844" w:type="dxa"/>
          </w:tcPr>
          <w:p w14:paraId="462DF199"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150,000</w:t>
            </w:r>
          </w:p>
        </w:tc>
      </w:tr>
      <w:tr w:rsidR="0066042F" w:rsidRPr="0066042F" w14:paraId="290BA88F"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19B40FC6" w14:textId="77777777" w:rsidR="0066042F" w:rsidRPr="00570815" w:rsidRDefault="0066042F" w:rsidP="0066042F"/>
        </w:tc>
        <w:tc>
          <w:tcPr>
            <w:tcW w:w="561" w:type="dxa"/>
          </w:tcPr>
          <w:p w14:paraId="2BCDD302"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CU</w:t>
            </w:r>
          </w:p>
        </w:tc>
        <w:tc>
          <w:tcPr>
            <w:tcW w:w="2978" w:type="dxa"/>
          </w:tcPr>
          <w:p w14:paraId="1224B06C"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Hybrid Cutaway Bus</w:t>
            </w:r>
          </w:p>
        </w:tc>
        <w:tc>
          <w:tcPr>
            <w:tcW w:w="1833" w:type="dxa"/>
          </w:tcPr>
          <w:p w14:paraId="2490D7A8"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10</w:t>
            </w:r>
          </w:p>
        </w:tc>
        <w:tc>
          <w:tcPr>
            <w:tcW w:w="1844" w:type="dxa"/>
          </w:tcPr>
          <w:p w14:paraId="63AE1940"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150,000</w:t>
            </w:r>
          </w:p>
        </w:tc>
      </w:tr>
      <w:tr w:rsidR="0066042F" w:rsidRPr="0066042F" w14:paraId="3222178B"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3F4E368A" w14:textId="77777777" w:rsidR="0066042F" w:rsidRPr="00570815" w:rsidRDefault="0066042F" w:rsidP="0066042F"/>
        </w:tc>
        <w:tc>
          <w:tcPr>
            <w:tcW w:w="561" w:type="dxa"/>
          </w:tcPr>
          <w:p w14:paraId="368F15A3"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VN</w:t>
            </w:r>
          </w:p>
        </w:tc>
        <w:tc>
          <w:tcPr>
            <w:tcW w:w="2978" w:type="dxa"/>
          </w:tcPr>
          <w:p w14:paraId="2A3DEF53"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Sprinter Van</w:t>
            </w:r>
          </w:p>
        </w:tc>
        <w:tc>
          <w:tcPr>
            <w:tcW w:w="1833" w:type="dxa"/>
          </w:tcPr>
          <w:p w14:paraId="25130637"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 xml:space="preserve"> 8</w:t>
            </w:r>
          </w:p>
        </w:tc>
        <w:tc>
          <w:tcPr>
            <w:tcW w:w="1844" w:type="dxa"/>
          </w:tcPr>
          <w:p w14:paraId="65E23542"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175,000</w:t>
            </w:r>
          </w:p>
        </w:tc>
      </w:tr>
      <w:tr w:rsidR="0066042F" w:rsidRPr="0066042F" w14:paraId="47864D7F"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val="restart"/>
          </w:tcPr>
          <w:p w14:paraId="60EDFEEB" w14:textId="77777777" w:rsidR="0066042F" w:rsidRPr="0066042F" w:rsidRDefault="0066042F" w:rsidP="0066042F">
            <w:pPr>
              <w:rPr>
                <w:iCs w:val="0"/>
              </w:rPr>
            </w:pPr>
            <w:r w:rsidRPr="00570815">
              <w:t>Medium Duty</w:t>
            </w:r>
          </w:p>
        </w:tc>
        <w:tc>
          <w:tcPr>
            <w:tcW w:w="561" w:type="dxa"/>
          </w:tcPr>
          <w:p w14:paraId="25596BE4"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BU</w:t>
            </w:r>
          </w:p>
        </w:tc>
        <w:tc>
          <w:tcPr>
            <w:tcW w:w="2978" w:type="dxa"/>
          </w:tcPr>
          <w:p w14:paraId="728CE098"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Raised Floor Transit Bus</w:t>
            </w:r>
          </w:p>
        </w:tc>
        <w:tc>
          <w:tcPr>
            <w:tcW w:w="1833" w:type="dxa"/>
          </w:tcPr>
          <w:p w14:paraId="21910E19"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14</w:t>
            </w:r>
          </w:p>
        </w:tc>
        <w:tc>
          <w:tcPr>
            <w:tcW w:w="1844" w:type="dxa"/>
          </w:tcPr>
          <w:p w14:paraId="54D697B1"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300,000</w:t>
            </w:r>
          </w:p>
        </w:tc>
      </w:tr>
      <w:tr w:rsidR="0066042F" w:rsidRPr="0066042F" w14:paraId="5AD25E7E"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0657E612" w14:textId="77777777" w:rsidR="0066042F" w:rsidRPr="00570815" w:rsidRDefault="0066042F" w:rsidP="0066042F"/>
        </w:tc>
        <w:tc>
          <w:tcPr>
            <w:tcW w:w="561" w:type="dxa"/>
          </w:tcPr>
          <w:p w14:paraId="7521E759"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BU</w:t>
            </w:r>
          </w:p>
        </w:tc>
        <w:tc>
          <w:tcPr>
            <w:tcW w:w="2978" w:type="dxa"/>
          </w:tcPr>
          <w:p w14:paraId="30B544FB"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Low Floor Transit Bus</w:t>
            </w:r>
          </w:p>
        </w:tc>
        <w:tc>
          <w:tcPr>
            <w:tcW w:w="1833" w:type="dxa"/>
          </w:tcPr>
          <w:p w14:paraId="35243091"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14</w:t>
            </w:r>
          </w:p>
        </w:tc>
        <w:tc>
          <w:tcPr>
            <w:tcW w:w="1844" w:type="dxa"/>
          </w:tcPr>
          <w:p w14:paraId="48680D48"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300,000</w:t>
            </w:r>
          </w:p>
        </w:tc>
      </w:tr>
      <w:tr w:rsidR="0066042F" w:rsidRPr="0066042F" w14:paraId="18075064" w14:textId="77777777" w:rsidTr="0066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vMerge/>
          </w:tcPr>
          <w:p w14:paraId="537FF1B9" w14:textId="77777777" w:rsidR="0066042F" w:rsidRPr="00570815" w:rsidRDefault="0066042F" w:rsidP="0066042F"/>
        </w:tc>
        <w:tc>
          <w:tcPr>
            <w:tcW w:w="561" w:type="dxa"/>
          </w:tcPr>
          <w:p w14:paraId="6E6919E6"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BU</w:t>
            </w:r>
          </w:p>
        </w:tc>
        <w:tc>
          <w:tcPr>
            <w:tcW w:w="2978" w:type="dxa"/>
          </w:tcPr>
          <w:p w14:paraId="511388A3" w14:textId="77777777" w:rsidR="0066042F" w:rsidRPr="00570815" w:rsidRDefault="0066042F" w:rsidP="0066042F">
            <w:pPr>
              <w:jc w:val="left"/>
              <w:cnfStyle w:val="000000100000" w:firstRow="0" w:lastRow="0" w:firstColumn="0" w:lastColumn="0" w:oddVBand="0" w:evenVBand="0" w:oddHBand="1" w:evenHBand="0" w:firstRowFirstColumn="0" w:firstRowLastColumn="0" w:lastRowFirstColumn="0" w:lastRowLastColumn="0"/>
            </w:pPr>
            <w:r w:rsidRPr="00570815">
              <w:t>Hybrid Transit Bus</w:t>
            </w:r>
          </w:p>
        </w:tc>
        <w:tc>
          <w:tcPr>
            <w:tcW w:w="1833" w:type="dxa"/>
          </w:tcPr>
          <w:p w14:paraId="756DA742"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14</w:t>
            </w:r>
          </w:p>
        </w:tc>
        <w:tc>
          <w:tcPr>
            <w:tcW w:w="1844" w:type="dxa"/>
          </w:tcPr>
          <w:p w14:paraId="0AB68B36" w14:textId="77777777" w:rsidR="0066042F" w:rsidRPr="00570815" w:rsidRDefault="0066042F" w:rsidP="0066042F">
            <w:pPr>
              <w:cnfStyle w:val="000000100000" w:firstRow="0" w:lastRow="0" w:firstColumn="0" w:lastColumn="0" w:oddVBand="0" w:evenVBand="0" w:oddHBand="1" w:evenHBand="0" w:firstRowFirstColumn="0" w:firstRowLastColumn="0" w:lastRowFirstColumn="0" w:lastRowLastColumn="0"/>
            </w:pPr>
            <w:r w:rsidRPr="00570815">
              <w:t>300,000</w:t>
            </w:r>
          </w:p>
        </w:tc>
      </w:tr>
      <w:tr w:rsidR="0066042F" w14:paraId="755021C3" w14:textId="77777777" w:rsidTr="006604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Pr>
          <w:p w14:paraId="6BA3C186" w14:textId="77777777" w:rsidR="0066042F" w:rsidRPr="00570815" w:rsidRDefault="0066042F" w:rsidP="0066042F">
            <w:r w:rsidRPr="00570815">
              <w:t>Heavy Duty</w:t>
            </w:r>
          </w:p>
        </w:tc>
        <w:tc>
          <w:tcPr>
            <w:tcW w:w="561" w:type="dxa"/>
          </w:tcPr>
          <w:p w14:paraId="0444308A"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BU</w:t>
            </w:r>
          </w:p>
        </w:tc>
        <w:tc>
          <w:tcPr>
            <w:tcW w:w="2978" w:type="dxa"/>
          </w:tcPr>
          <w:p w14:paraId="4706BF2D" w14:textId="77777777" w:rsidR="0066042F" w:rsidRPr="00570815" w:rsidRDefault="0066042F" w:rsidP="0066042F">
            <w:pPr>
              <w:jc w:val="left"/>
              <w:cnfStyle w:val="000000010000" w:firstRow="0" w:lastRow="0" w:firstColumn="0" w:lastColumn="0" w:oddVBand="0" w:evenVBand="0" w:oddHBand="0" w:evenHBand="1" w:firstRowFirstColumn="0" w:firstRowLastColumn="0" w:lastRowFirstColumn="0" w:lastRowLastColumn="0"/>
            </w:pPr>
            <w:r w:rsidRPr="00570815">
              <w:t>HD LF Transit Bus (Gillig)</w:t>
            </w:r>
          </w:p>
        </w:tc>
        <w:tc>
          <w:tcPr>
            <w:tcW w:w="1833" w:type="dxa"/>
          </w:tcPr>
          <w:p w14:paraId="68E0FF28" w14:textId="77777777" w:rsidR="0066042F" w:rsidRPr="00570815" w:rsidRDefault="0066042F" w:rsidP="0066042F">
            <w:pPr>
              <w:cnfStyle w:val="000000010000" w:firstRow="0" w:lastRow="0" w:firstColumn="0" w:lastColumn="0" w:oddVBand="0" w:evenVBand="0" w:oddHBand="0" w:evenHBand="1" w:firstRowFirstColumn="0" w:firstRowLastColumn="0" w:lastRowFirstColumn="0" w:lastRowLastColumn="0"/>
            </w:pPr>
            <w:r w:rsidRPr="00570815">
              <w:t>14</w:t>
            </w:r>
          </w:p>
        </w:tc>
        <w:tc>
          <w:tcPr>
            <w:tcW w:w="1844" w:type="dxa"/>
          </w:tcPr>
          <w:p w14:paraId="1AA98B42" w14:textId="77777777" w:rsidR="0066042F" w:rsidRDefault="0066042F" w:rsidP="0066042F">
            <w:pPr>
              <w:cnfStyle w:val="000000010000" w:firstRow="0" w:lastRow="0" w:firstColumn="0" w:lastColumn="0" w:oddVBand="0" w:evenVBand="0" w:oddHBand="0" w:evenHBand="1" w:firstRowFirstColumn="0" w:firstRowLastColumn="0" w:lastRowFirstColumn="0" w:lastRowLastColumn="0"/>
            </w:pPr>
            <w:r w:rsidRPr="00570815">
              <w:t>350,000</w:t>
            </w:r>
          </w:p>
        </w:tc>
      </w:tr>
    </w:tbl>
    <w:p w14:paraId="1E2C3E49" w14:textId="77777777" w:rsidR="00D875A0" w:rsidRDefault="00D875A0" w:rsidP="006C7E92">
      <w:pPr>
        <w:spacing w:after="0"/>
      </w:pPr>
    </w:p>
    <w:p w14:paraId="225E4785" w14:textId="77777777" w:rsidR="00D875A0" w:rsidRDefault="00D875A0" w:rsidP="006C7E92">
      <w:pPr>
        <w:pStyle w:val="Heading6"/>
      </w:pPr>
      <w:r>
        <w:t xml:space="preserve">Facility and Equipment TERM Scale </w:t>
      </w:r>
    </w:p>
    <w:p w14:paraId="15EA7A5B" w14:textId="051E8B58" w:rsidR="00D55665" w:rsidRDefault="00D875A0" w:rsidP="00D875A0">
      <w:r>
        <w:lastRenderedPageBreak/>
        <w:t>FTA’s TERM scale</w:t>
      </w:r>
      <w:r w:rsidR="00D55665">
        <w:rPr>
          <w:rStyle w:val="FootnoteReference"/>
        </w:rPr>
        <w:footnoteReference w:id="2"/>
      </w:r>
      <w:r>
        <w:t xml:space="preserve">  is used by their template condition</w:t>
      </w:r>
      <w:r>
        <w:rPr>
          <w:rFonts w:ascii="Cambria Math" w:hAnsi="Cambria Math" w:cs="Cambria Math"/>
        </w:rPr>
        <w:t>‐</w:t>
      </w:r>
      <w:r>
        <w:t>based model to evaluate facilities, so it would be a useful measure to employ in the TAMP. The TERM rates the physical condition of an asset on a 5</w:t>
      </w:r>
      <w:r>
        <w:rPr>
          <w:rFonts w:ascii="Cambria Math" w:hAnsi="Cambria Math" w:cs="Cambria Math"/>
        </w:rPr>
        <w:t>‐</w:t>
      </w:r>
      <w:r>
        <w:t xml:space="preserve">point scale ranging from poor (scored as 1) to excellent (scored as 5). The TERM rating is then used to determine the level of investment required to improve the condition of assets. Based on the TERM scale, an asset is in </w:t>
      </w:r>
      <w:proofErr w:type="gramStart"/>
      <w:r w:rsidR="00C73071">
        <w:t>a</w:t>
      </w:r>
      <w:proofErr w:type="gramEnd"/>
      <w:r w:rsidR="00C73071">
        <w:t xml:space="preserve"> </w:t>
      </w:r>
      <w:r>
        <w:t xml:space="preserve">SGR if it has a rating of 3 or over on the TERM scale. </w:t>
      </w:r>
      <w:r w:rsidRPr="0043675B">
        <w:rPr>
          <w:b/>
        </w:rPr>
        <w:t>Table 4</w:t>
      </w:r>
      <w:r>
        <w:t xml:space="preserve"> depicts the FTA TERM Scale. </w:t>
      </w:r>
    </w:p>
    <w:p w14:paraId="5F64C202" w14:textId="77777777" w:rsidR="00D875A0" w:rsidRPr="00D55665" w:rsidRDefault="00D875A0" w:rsidP="00D55665">
      <w:pPr>
        <w:jc w:val="center"/>
        <w:rPr>
          <w:rStyle w:val="SubtleReference"/>
        </w:rPr>
      </w:pPr>
      <w:r w:rsidRPr="00D55665">
        <w:rPr>
          <w:rStyle w:val="SubtleReference"/>
        </w:rPr>
        <w:t>Table 4: FTA Transit Economics Requirements Model (TERM) Scale</w:t>
      </w:r>
    </w:p>
    <w:tbl>
      <w:tblPr>
        <w:tblStyle w:val="Style2"/>
        <w:tblW w:w="0" w:type="auto"/>
        <w:tblLook w:val="04A0" w:firstRow="1" w:lastRow="0" w:firstColumn="1" w:lastColumn="0" w:noHBand="0" w:noVBand="1"/>
      </w:tblPr>
      <w:tblGrid>
        <w:gridCol w:w="1800"/>
        <w:gridCol w:w="6390"/>
        <w:gridCol w:w="1170"/>
      </w:tblGrid>
      <w:tr w:rsidR="00D55665" w:rsidRPr="00D55665" w14:paraId="7C8F0F00" w14:textId="77777777" w:rsidTr="004367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Pr>
          <w:p w14:paraId="3773B579" w14:textId="77777777" w:rsidR="00D55665" w:rsidRPr="00D55665" w:rsidRDefault="00D55665" w:rsidP="00B412C7">
            <w:r w:rsidRPr="00D55665">
              <w:t>Description</w:t>
            </w:r>
          </w:p>
        </w:tc>
        <w:tc>
          <w:tcPr>
            <w:tcW w:w="6390" w:type="dxa"/>
          </w:tcPr>
          <w:p w14:paraId="6D05A843" w14:textId="77777777" w:rsidR="00D55665" w:rsidRPr="00D55665" w:rsidRDefault="00D55665" w:rsidP="00B412C7">
            <w:pPr>
              <w:cnfStyle w:val="100000000000" w:firstRow="1" w:lastRow="0" w:firstColumn="0" w:lastColumn="0" w:oddVBand="0" w:evenVBand="0" w:oddHBand="0" w:evenHBand="0" w:firstRowFirstColumn="0" w:firstRowLastColumn="0" w:lastRowFirstColumn="0" w:lastRowLastColumn="0"/>
            </w:pPr>
            <w:r w:rsidRPr="00D55665">
              <w:t>Condition</w:t>
            </w:r>
          </w:p>
        </w:tc>
        <w:tc>
          <w:tcPr>
            <w:tcW w:w="1170" w:type="dxa"/>
          </w:tcPr>
          <w:p w14:paraId="0D151338" w14:textId="77777777" w:rsidR="00D55665" w:rsidRPr="00D55665" w:rsidRDefault="00D55665" w:rsidP="00B412C7">
            <w:pPr>
              <w:cnfStyle w:val="100000000000" w:firstRow="1" w:lastRow="0" w:firstColumn="0" w:lastColumn="0" w:oddVBand="0" w:evenVBand="0" w:oddHBand="0" w:evenHBand="0" w:firstRowFirstColumn="0" w:firstRowLastColumn="0" w:lastRowFirstColumn="0" w:lastRowLastColumn="0"/>
            </w:pPr>
            <w:r w:rsidRPr="00D55665">
              <w:t>Rating</w:t>
            </w:r>
          </w:p>
        </w:tc>
      </w:tr>
      <w:tr w:rsidR="00D55665" w:rsidRPr="00D55665" w14:paraId="411B61C7" w14:textId="77777777" w:rsidTr="00436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173F7408" w14:textId="77777777" w:rsidR="00D55665" w:rsidRPr="00D55665" w:rsidRDefault="00D55665" w:rsidP="00B412C7">
            <w:r w:rsidRPr="00D55665">
              <w:t>Excellent</w:t>
            </w:r>
          </w:p>
        </w:tc>
        <w:tc>
          <w:tcPr>
            <w:tcW w:w="6390" w:type="dxa"/>
          </w:tcPr>
          <w:p w14:paraId="78530249" w14:textId="77777777" w:rsidR="00D55665" w:rsidRPr="00D55665" w:rsidRDefault="00D55665" w:rsidP="00B412C7">
            <w:pPr>
              <w:cnfStyle w:val="000000100000" w:firstRow="0" w:lastRow="0" w:firstColumn="0" w:lastColumn="0" w:oddVBand="0" w:evenVBand="0" w:oddHBand="1" w:evenHBand="0" w:firstRowFirstColumn="0" w:firstRowLastColumn="0" w:lastRowFirstColumn="0" w:lastRowLastColumn="0"/>
            </w:pPr>
            <w:r w:rsidRPr="00D55665">
              <w:t>New asset; no visible defects</w:t>
            </w:r>
          </w:p>
        </w:tc>
        <w:tc>
          <w:tcPr>
            <w:tcW w:w="1170" w:type="dxa"/>
          </w:tcPr>
          <w:p w14:paraId="238BB13E" w14:textId="77777777" w:rsidR="00D55665" w:rsidRPr="00D55665" w:rsidRDefault="00D55665" w:rsidP="00B412C7">
            <w:pPr>
              <w:cnfStyle w:val="000000100000" w:firstRow="0" w:lastRow="0" w:firstColumn="0" w:lastColumn="0" w:oddVBand="0" w:evenVBand="0" w:oddHBand="1" w:evenHBand="0" w:firstRowFirstColumn="0" w:firstRowLastColumn="0" w:lastRowFirstColumn="0" w:lastRowLastColumn="0"/>
            </w:pPr>
            <w:r w:rsidRPr="00D55665">
              <w:t>5</w:t>
            </w:r>
          </w:p>
        </w:tc>
      </w:tr>
      <w:tr w:rsidR="00D55665" w:rsidRPr="00D55665" w14:paraId="01C949E1" w14:textId="77777777" w:rsidTr="00436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5282E95B" w14:textId="77777777" w:rsidR="00D55665" w:rsidRPr="00D55665" w:rsidRDefault="00D55665" w:rsidP="00B412C7">
            <w:r w:rsidRPr="00D55665">
              <w:t>Good</w:t>
            </w:r>
          </w:p>
        </w:tc>
        <w:tc>
          <w:tcPr>
            <w:tcW w:w="6390" w:type="dxa"/>
          </w:tcPr>
          <w:p w14:paraId="033F2EA4" w14:textId="77777777" w:rsidR="00D55665" w:rsidRPr="00D55665" w:rsidRDefault="00D55665" w:rsidP="00B412C7">
            <w:pPr>
              <w:cnfStyle w:val="000000010000" w:firstRow="0" w:lastRow="0" w:firstColumn="0" w:lastColumn="0" w:oddVBand="0" w:evenVBand="0" w:oddHBand="0" w:evenHBand="1" w:firstRowFirstColumn="0" w:firstRowLastColumn="0" w:lastRowFirstColumn="0" w:lastRowLastColumn="0"/>
            </w:pPr>
            <w:r w:rsidRPr="00D55665">
              <w:t>Some slightly defective or deteriorated components</w:t>
            </w:r>
          </w:p>
        </w:tc>
        <w:tc>
          <w:tcPr>
            <w:tcW w:w="1170" w:type="dxa"/>
          </w:tcPr>
          <w:p w14:paraId="29ECF03E" w14:textId="77777777" w:rsidR="00D55665" w:rsidRPr="00D55665" w:rsidRDefault="00D55665" w:rsidP="00B412C7">
            <w:pPr>
              <w:cnfStyle w:val="000000010000" w:firstRow="0" w:lastRow="0" w:firstColumn="0" w:lastColumn="0" w:oddVBand="0" w:evenVBand="0" w:oddHBand="0" w:evenHBand="1" w:firstRowFirstColumn="0" w:firstRowLastColumn="0" w:lastRowFirstColumn="0" w:lastRowLastColumn="0"/>
            </w:pPr>
            <w:r w:rsidRPr="00D55665">
              <w:t>4</w:t>
            </w:r>
          </w:p>
        </w:tc>
      </w:tr>
      <w:tr w:rsidR="00D55665" w:rsidRPr="00D55665" w14:paraId="60C47882" w14:textId="77777777" w:rsidTr="00436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223EE91" w14:textId="77777777" w:rsidR="00D55665" w:rsidRPr="00D55665" w:rsidRDefault="00D55665" w:rsidP="00B412C7">
            <w:r w:rsidRPr="00D55665">
              <w:t>Adequate</w:t>
            </w:r>
          </w:p>
        </w:tc>
        <w:tc>
          <w:tcPr>
            <w:tcW w:w="6390" w:type="dxa"/>
          </w:tcPr>
          <w:p w14:paraId="57840280" w14:textId="77777777" w:rsidR="00D55665" w:rsidRPr="00D55665" w:rsidRDefault="00D55665" w:rsidP="00B412C7">
            <w:pPr>
              <w:cnfStyle w:val="000000100000" w:firstRow="0" w:lastRow="0" w:firstColumn="0" w:lastColumn="0" w:oddVBand="0" w:evenVBand="0" w:oddHBand="1" w:evenHBand="0" w:firstRowFirstColumn="0" w:firstRowLastColumn="0" w:lastRowFirstColumn="0" w:lastRowLastColumn="0"/>
            </w:pPr>
            <w:r w:rsidRPr="00D55665">
              <w:t>Some moderated defective or deteriorated components</w:t>
            </w:r>
          </w:p>
        </w:tc>
        <w:tc>
          <w:tcPr>
            <w:tcW w:w="1170" w:type="dxa"/>
          </w:tcPr>
          <w:p w14:paraId="7E60C076" w14:textId="77777777" w:rsidR="00D55665" w:rsidRPr="00D55665" w:rsidRDefault="00D55665" w:rsidP="00B412C7">
            <w:pPr>
              <w:cnfStyle w:val="000000100000" w:firstRow="0" w:lastRow="0" w:firstColumn="0" w:lastColumn="0" w:oddVBand="0" w:evenVBand="0" w:oddHBand="1" w:evenHBand="0" w:firstRowFirstColumn="0" w:firstRowLastColumn="0" w:lastRowFirstColumn="0" w:lastRowLastColumn="0"/>
            </w:pPr>
            <w:r w:rsidRPr="00D55665">
              <w:t>3</w:t>
            </w:r>
          </w:p>
        </w:tc>
      </w:tr>
      <w:tr w:rsidR="00D55665" w:rsidRPr="00D55665" w14:paraId="0B198B18" w14:textId="77777777" w:rsidTr="00436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C5006FD" w14:textId="77777777" w:rsidR="00D55665" w:rsidRPr="00D55665" w:rsidRDefault="00D55665" w:rsidP="00B412C7">
            <w:r w:rsidRPr="00D55665">
              <w:t>Marginal</w:t>
            </w:r>
          </w:p>
        </w:tc>
        <w:tc>
          <w:tcPr>
            <w:tcW w:w="6390" w:type="dxa"/>
          </w:tcPr>
          <w:p w14:paraId="55290A1A" w14:textId="77777777" w:rsidR="00D55665" w:rsidRPr="00D55665" w:rsidRDefault="00D55665" w:rsidP="00B412C7">
            <w:pPr>
              <w:cnfStyle w:val="000000010000" w:firstRow="0" w:lastRow="0" w:firstColumn="0" w:lastColumn="0" w:oddVBand="0" w:evenVBand="0" w:oddHBand="0" w:evenHBand="1" w:firstRowFirstColumn="0" w:firstRowLastColumn="0" w:lastRowFirstColumn="0" w:lastRowLastColumn="0"/>
            </w:pPr>
            <w:r w:rsidRPr="00D55665">
              <w:t>Increasing number of defective or deteriorated components and maintenance needs</w:t>
            </w:r>
          </w:p>
        </w:tc>
        <w:tc>
          <w:tcPr>
            <w:tcW w:w="1170" w:type="dxa"/>
          </w:tcPr>
          <w:p w14:paraId="22755A65" w14:textId="77777777" w:rsidR="00D55665" w:rsidRPr="00D55665" w:rsidRDefault="00D55665" w:rsidP="00B412C7">
            <w:pPr>
              <w:cnfStyle w:val="000000010000" w:firstRow="0" w:lastRow="0" w:firstColumn="0" w:lastColumn="0" w:oddVBand="0" w:evenVBand="0" w:oddHBand="0" w:evenHBand="1" w:firstRowFirstColumn="0" w:firstRowLastColumn="0" w:lastRowFirstColumn="0" w:lastRowLastColumn="0"/>
            </w:pPr>
            <w:r w:rsidRPr="00D55665">
              <w:t>2</w:t>
            </w:r>
          </w:p>
        </w:tc>
      </w:tr>
      <w:tr w:rsidR="00D55665" w14:paraId="1B569632" w14:textId="77777777" w:rsidTr="00436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DF9C63F" w14:textId="77777777" w:rsidR="00D55665" w:rsidRPr="00D55665" w:rsidRDefault="00D55665" w:rsidP="00B412C7">
            <w:r w:rsidRPr="00D55665">
              <w:t>Poor</w:t>
            </w:r>
          </w:p>
        </w:tc>
        <w:tc>
          <w:tcPr>
            <w:tcW w:w="6390" w:type="dxa"/>
          </w:tcPr>
          <w:p w14:paraId="22375760" w14:textId="77777777" w:rsidR="00D55665" w:rsidRPr="00D55665" w:rsidRDefault="00D55665" w:rsidP="00B412C7">
            <w:pPr>
              <w:cnfStyle w:val="000000100000" w:firstRow="0" w:lastRow="0" w:firstColumn="0" w:lastColumn="0" w:oddVBand="0" w:evenVBand="0" w:oddHBand="1" w:evenHBand="0" w:firstRowFirstColumn="0" w:firstRowLastColumn="0" w:lastRowFirstColumn="0" w:lastRowLastColumn="0"/>
            </w:pPr>
            <w:r w:rsidRPr="00D55665">
              <w:t>In need of immediate repair or replacement; may have critically damaged components</w:t>
            </w:r>
          </w:p>
        </w:tc>
        <w:tc>
          <w:tcPr>
            <w:tcW w:w="1170" w:type="dxa"/>
          </w:tcPr>
          <w:p w14:paraId="401FB459" w14:textId="77777777" w:rsidR="00D55665" w:rsidRDefault="00D55665" w:rsidP="00B412C7">
            <w:pPr>
              <w:cnfStyle w:val="000000100000" w:firstRow="0" w:lastRow="0" w:firstColumn="0" w:lastColumn="0" w:oddVBand="0" w:evenVBand="0" w:oddHBand="1" w:evenHBand="0" w:firstRowFirstColumn="0" w:firstRowLastColumn="0" w:lastRowFirstColumn="0" w:lastRowLastColumn="0"/>
            </w:pPr>
            <w:r w:rsidRPr="00D55665">
              <w:t>1</w:t>
            </w:r>
          </w:p>
        </w:tc>
      </w:tr>
    </w:tbl>
    <w:p w14:paraId="63CCCA2A" w14:textId="77777777" w:rsidR="00D875A0" w:rsidRDefault="00D875A0" w:rsidP="00D55665">
      <w:pPr>
        <w:spacing w:after="0"/>
      </w:pPr>
    </w:p>
    <w:p w14:paraId="42748A78" w14:textId="77777777" w:rsidR="00D875A0" w:rsidRDefault="00D875A0" w:rsidP="0043675B">
      <w:pPr>
        <w:pStyle w:val="Heading5"/>
      </w:pPr>
      <w:r>
        <w:t xml:space="preserve">Condition Rating </w:t>
      </w:r>
    </w:p>
    <w:p w14:paraId="0BF0F5F0" w14:textId="6B8E11BF" w:rsidR="00D875A0" w:rsidRDefault="00D875A0" w:rsidP="00D875A0">
      <w:r>
        <w:t xml:space="preserve">Based on the defined condition assessment criteria above, condition assessment was conducted for each type of transit asset operated for the BMT rural transit program, using age </w:t>
      </w:r>
      <w:r w:rsidR="00D109EA">
        <w:t xml:space="preserve">and mileage </w:t>
      </w:r>
      <w:r>
        <w:t xml:space="preserve">for vehicles and TERM condition for facilities. </w:t>
      </w:r>
    </w:p>
    <w:p w14:paraId="3617B195" w14:textId="77777777" w:rsidR="00D875A0" w:rsidRDefault="00D875A0" w:rsidP="0043675B">
      <w:pPr>
        <w:pStyle w:val="Heading6"/>
      </w:pPr>
      <w:r>
        <w:t xml:space="preserve">Rolling Stock </w:t>
      </w:r>
    </w:p>
    <w:p w14:paraId="46048036" w14:textId="4A2308D2" w:rsidR="00D875A0" w:rsidRDefault="00D875A0" w:rsidP="00D875A0">
      <w:r w:rsidRPr="0043675B">
        <w:rPr>
          <w:b/>
        </w:rPr>
        <w:t>Table 5</w:t>
      </w:r>
      <w:r>
        <w:t xml:space="preserve"> summarizes the condition rating of rolling stock. Of the 17 revenue vehicles, </w:t>
      </w:r>
      <w:r w:rsidR="002D3C54">
        <w:t xml:space="preserve">3 </w:t>
      </w:r>
      <w:r>
        <w:t xml:space="preserve">reached or exceeded their ULBs defined for either age or mileage. These </w:t>
      </w:r>
      <w:r w:rsidR="002D3C54">
        <w:t xml:space="preserve">3 </w:t>
      </w:r>
      <w:r>
        <w:t xml:space="preserve">vehicles are all vans. </w:t>
      </w:r>
      <w:r w:rsidR="0099661C">
        <w:t xml:space="preserve">Although spare vehicles are typically retired revenue vehicles which have exceeded their ULBs and therefore are not required to have benchmarks, the BMT fleet is in better condition.  </w:t>
      </w:r>
      <w:r w:rsidR="002D3C54">
        <w:t xml:space="preserve">Six </w:t>
      </w:r>
      <w:r>
        <w:t xml:space="preserve">spare vehicles reached or exceeded their ULBs for either age or mileage. These include </w:t>
      </w:r>
      <w:r w:rsidR="002D3C54">
        <w:t xml:space="preserve">five </w:t>
      </w:r>
      <w:r>
        <w:t xml:space="preserve">vans and one bus. Three of the non-revenue vehicles reached or exceeded their ULBs for their age. These include two automobiles and one truck. </w:t>
      </w:r>
    </w:p>
    <w:p w14:paraId="35B784B7" w14:textId="77777777" w:rsidR="00D875A0" w:rsidRPr="009D096B" w:rsidRDefault="00D875A0" w:rsidP="009D096B">
      <w:pPr>
        <w:jc w:val="center"/>
        <w:rPr>
          <w:rStyle w:val="SubtleReference"/>
        </w:rPr>
      </w:pPr>
      <w:r w:rsidRPr="009D096B">
        <w:rPr>
          <w:rStyle w:val="SubtleReference"/>
        </w:rPr>
        <w:t>Table 5: Condition Rating of Rolling Stock</w:t>
      </w:r>
    </w:p>
    <w:tbl>
      <w:tblPr>
        <w:tblStyle w:val="Style2"/>
        <w:tblW w:w="0" w:type="auto"/>
        <w:tblInd w:w="5" w:type="dxa"/>
        <w:tblLook w:val="04A0" w:firstRow="1" w:lastRow="0" w:firstColumn="1" w:lastColumn="0" w:noHBand="0" w:noVBand="1"/>
      </w:tblPr>
      <w:tblGrid>
        <w:gridCol w:w="1870"/>
        <w:gridCol w:w="1635"/>
        <w:gridCol w:w="1260"/>
        <w:gridCol w:w="2715"/>
        <w:gridCol w:w="1870"/>
      </w:tblGrid>
      <w:tr w:rsidR="009D096B" w:rsidRPr="009D096B" w14:paraId="348A2B5F" w14:textId="77777777" w:rsidTr="009D09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0" w:type="dxa"/>
          </w:tcPr>
          <w:p w14:paraId="5C6B25F0" w14:textId="77777777" w:rsidR="009D096B" w:rsidRPr="009D096B" w:rsidRDefault="009D096B" w:rsidP="00B412C7">
            <w:r w:rsidRPr="009D096B">
              <w:t>Asset Class</w:t>
            </w:r>
          </w:p>
        </w:tc>
        <w:tc>
          <w:tcPr>
            <w:tcW w:w="1635" w:type="dxa"/>
          </w:tcPr>
          <w:p w14:paraId="159B50A4"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Vehicles Type</w:t>
            </w:r>
          </w:p>
        </w:tc>
        <w:tc>
          <w:tcPr>
            <w:tcW w:w="1260" w:type="dxa"/>
          </w:tcPr>
          <w:p w14:paraId="02715F00"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 xml:space="preserve">Number of Vehicles </w:t>
            </w:r>
          </w:p>
        </w:tc>
        <w:tc>
          <w:tcPr>
            <w:tcW w:w="2715" w:type="dxa"/>
          </w:tcPr>
          <w:p w14:paraId="5256380C"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Count at or Exceeding Age ULB or Mileage ULB</w:t>
            </w:r>
          </w:p>
        </w:tc>
        <w:tc>
          <w:tcPr>
            <w:tcW w:w="1870" w:type="dxa"/>
          </w:tcPr>
          <w:p w14:paraId="50B11547"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 at or Exceeding Age ULB or Mileage ULB</w:t>
            </w:r>
          </w:p>
        </w:tc>
      </w:tr>
      <w:tr w:rsidR="009D096B" w:rsidRPr="009D096B" w14:paraId="44254053" w14:textId="77777777" w:rsidTr="009D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Pr>
          <w:p w14:paraId="33AEA88A" w14:textId="77777777" w:rsidR="009D096B" w:rsidRPr="009D096B" w:rsidRDefault="009D096B" w:rsidP="00B412C7">
            <w:r w:rsidRPr="009D096B">
              <w:t>Revenue Vehicles</w:t>
            </w:r>
          </w:p>
        </w:tc>
        <w:tc>
          <w:tcPr>
            <w:tcW w:w="1635" w:type="dxa"/>
          </w:tcPr>
          <w:p w14:paraId="4E84857B"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Bus</w:t>
            </w:r>
          </w:p>
        </w:tc>
        <w:tc>
          <w:tcPr>
            <w:tcW w:w="1260" w:type="dxa"/>
          </w:tcPr>
          <w:p w14:paraId="4D01A73C"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12</w:t>
            </w:r>
          </w:p>
        </w:tc>
        <w:tc>
          <w:tcPr>
            <w:tcW w:w="2715" w:type="dxa"/>
          </w:tcPr>
          <w:p w14:paraId="537983AF"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0</w:t>
            </w:r>
          </w:p>
        </w:tc>
        <w:tc>
          <w:tcPr>
            <w:tcW w:w="1870" w:type="dxa"/>
          </w:tcPr>
          <w:p w14:paraId="77BDB713"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0%</w:t>
            </w:r>
          </w:p>
        </w:tc>
      </w:tr>
      <w:tr w:rsidR="009D096B" w:rsidRPr="009D096B" w14:paraId="271E92C6" w14:textId="77777777" w:rsidTr="009D0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Pr>
          <w:p w14:paraId="642183B2" w14:textId="77777777" w:rsidR="009D096B" w:rsidRPr="009D096B" w:rsidRDefault="009D096B" w:rsidP="00B412C7"/>
        </w:tc>
        <w:tc>
          <w:tcPr>
            <w:tcW w:w="1635" w:type="dxa"/>
          </w:tcPr>
          <w:p w14:paraId="74C631CE"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Van</w:t>
            </w:r>
          </w:p>
        </w:tc>
        <w:tc>
          <w:tcPr>
            <w:tcW w:w="1260" w:type="dxa"/>
          </w:tcPr>
          <w:p w14:paraId="7271AC7C"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5</w:t>
            </w:r>
          </w:p>
        </w:tc>
        <w:tc>
          <w:tcPr>
            <w:tcW w:w="2715" w:type="dxa"/>
          </w:tcPr>
          <w:p w14:paraId="0DF30C9B" w14:textId="3D164A77" w:rsidR="009D096B" w:rsidRPr="009D096B" w:rsidRDefault="002D3C54" w:rsidP="00B412C7">
            <w:pPr>
              <w:cnfStyle w:val="000000010000" w:firstRow="0" w:lastRow="0" w:firstColumn="0" w:lastColumn="0" w:oddVBand="0" w:evenVBand="0" w:oddHBand="0" w:evenHBand="1" w:firstRowFirstColumn="0" w:firstRowLastColumn="0" w:lastRowFirstColumn="0" w:lastRowLastColumn="0"/>
            </w:pPr>
            <w:r>
              <w:t>3</w:t>
            </w:r>
          </w:p>
        </w:tc>
        <w:tc>
          <w:tcPr>
            <w:tcW w:w="1870" w:type="dxa"/>
          </w:tcPr>
          <w:p w14:paraId="40375E04" w14:textId="1B337978" w:rsidR="009D096B" w:rsidRPr="009D096B" w:rsidRDefault="002D3C54" w:rsidP="00B412C7">
            <w:pPr>
              <w:cnfStyle w:val="000000010000" w:firstRow="0" w:lastRow="0" w:firstColumn="0" w:lastColumn="0" w:oddVBand="0" w:evenVBand="0" w:oddHBand="0" w:evenHBand="1" w:firstRowFirstColumn="0" w:firstRowLastColumn="0" w:lastRowFirstColumn="0" w:lastRowLastColumn="0"/>
            </w:pPr>
            <w:r>
              <w:t>6</w:t>
            </w:r>
            <w:r w:rsidRPr="009D096B">
              <w:t>0</w:t>
            </w:r>
            <w:r w:rsidR="009D096B" w:rsidRPr="009D096B">
              <w:t>%</w:t>
            </w:r>
          </w:p>
        </w:tc>
      </w:tr>
      <w:tr w:rsidR="009D096B" w:rsidRPr="009D096B" w14:paraId="7051CBAB" w14:textId="77777777" w:rsidTr="009D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Pr>
          <w:p w14:paraId="5AF18F2B" w14:textId="77777777" w:rsidR="009D096B" w:rsidRPr="009D096B" w:rsidRDefault="009D096B" w:rsidP="00B412C7">
            <w:r w:rsidRPr="009D096B">
              <w:t>Non-Revenue Vehicles</w:t>
            </w:r>
          </w:p>
        </w:tc>
        <w:tc>
          <w:tcPr>
            <w:tcW w:w="1635" w:type="dxa"/>
          </w:tcPr>
          <w:p w14:paraId="000E4B47"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Automobile</w:t>
            </w:r>
          </w:p>
        </w:tc>
        <w:tc>
          <w:tcPr>
            <w:tcW w:w="1260" w:type="dxa"/>
          </w:tcPr>
          <w:p w14:paraId="3F6A906D"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2</w:t>
            </w:r>
          </w:p>
        </w:tc>
        <w:tc>
          <w:tcPr>
            <w:tcW w:w="2715" w:type="dxa"/>
          </w:tcPr>
          <w:p w14:paraId="763370D3"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2</w:t>
            </w:r>
          </w:p>
        </w:tc>
        <w:tc>
          <w:tcPr>
            <w:tcW w:w="1870" w:type="dxa"/>
          </w:tcPr>
          <w:p w14:paraId="2E7C4437"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100%</w:t>
            </w:r>
          </w:p>
        </w:tc>
      </w:tr>
      <w:tr w:rsidR="009D096B" w:rsidRPr="009D096B" w14:paraId="5F5B0F71" w14:textId="77777777" w:rsidTr="009D0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Pr>
          <w:p w14:paraId="0CFF4939" w14:textId="77777777" w:rsidR="009D096B" w:rsidRPr="009D096B" w:rsidRDefault="009D096B" w:rsidP="00B412C7"/>
        </w:tc>
        <w:tc>
          <w:tcPr>
            <w:tcW w:w="1635" w:type="dxa"/>
          </w:tcPr>
          <w:p w14:paraId="38A8CAFA"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Truck</w:t>
            </w:r>
          </w:p>
        </w:tc>
        <w:tc>
          <w:tcPr>
            <w:tcW w:w="1260" w:type="dxa"/>
          </w:tcPr>
          <w:p w14:paraId="3E7FA64C"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3</w:t>
            </w:r>
          </w:p>
        </w:tc>
        <w:tc>
          <w:tcPr>
            <w:tcW w:w="2715" w:type="dxa"/>
          </w:tcPr>
          <w:p w14:paraId="421B8468"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1</w:t>
            </w:r>
          </w:p>
        </w:tc>
        <w:tc>
          <w:tcPr>
            <w:tcW w:w="1870" w:type="dxa"/>
          </w:tcPr>
          <w:p w14:paraId="34B3589B"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33%</w:t>
            </w:r>
          </w:p>
        </w:tc>
      </w:tr>
      <w:tr w:rsidR="009D096B" w:rsidRPr="009D096B" w14:paraId="34E51EC1" w14:textId="77777777" w:rsidTr="009D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Pr>
          <w:p w14:paraId="436C59C9" w14:textId="77777777" w:rsidR="009D096B" w:rsidRPr="009D096B" w:rsidRDefault="009D096B" w:rsidP="00B412C7">
            <w:r w:rsidRPr="009D096B">
              <w:lastRenderedPageBreak/>
              <w:t>Spare Vehicles</w:t>
            </w:r>
          </w:p>
        </w:tc>
        <w:tc>
          <w:tcPr>
            <w:tcW w:w="1635" w:type="dxa"/>
          </w:tcPr>
          <w:p w14:paraId="2EBD57E6"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Bus</w:t>
            </w:r>
          </w:p>
        </w:tc>
        <w:tc>
          <w:tcPr>
            <w:tcW w:w="1260" w:type="dxa"/>
          </w:tcPr>
          <w:p w14:paraId="30E1F144"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6</w:t>
            </w:r>
          </w:p>
        </w:tc>
        <w:tc>
          <w:tcPr>
            <w:tcW w:w="2715" w:type="dxa"/>
          </w:tcPr>
          <w:p w14:paraId="66F187F4"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w:t>
            </w:r>
          </w:p>
        </w:tc>
        <w:tc>
          <w:tcPr>
            <w:tcW w:w="1870" w:type="dxa"/>
          </w:tcPr>
          <w:p w14:paraId="5AF99C11"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16%</w:t>
            </w:r>
          </w:p>
        </w:tc>
      </w:tr>
      <w:tr w:rsidR="009D096B" w14:paraId="3CB0A4E6" w14:textId="77777777" w:rsidTr="009D0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Pr>
          <w:p w14:paraId="54D99F23" w14:textId="77777777" w:rsidR="009D096B" w:rsidRPr="009D096B" w:rsidRDefault="009D096B" w:rsidP="00B412C7"/>
        </w:tc>
        <w:tc>
          <w:tcPr>
            <w:tcW w:w="1635" w:type="dxa"/>
          </w:tcPr>
          <w:p w14:paraId="3BBAF76E"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Van</w:t>
            </w:r>
          </w:p>
        </w:tc>
        <w:tc>
          <w:tcPr>
            <w:tcW w:w="1260" w:type="dxa"/>
          </w:tcPr>
          <w:p w14:paraId="0EB2F827" w14:textId="20C7B9F3" w:rsidR="009D096B" w:rsidRPr="009D096B" w:rsidRDefault="002D3C54" w:rsidP="00B412C7">
            <w:pPr>
              <w:cnfStyle w:val="000000010000" w:firstRow="0" w:lastRow="0" w:firstColumn="0" w:lastColumn="0" w:oddVBand="0" w:evenVBand="0" w:oddHBand="0" w:evenHBand="1" w:firstRowFirstColumn="0" w:firstRowLastColumn="0" w:lastRowFirstColumn="0" w:lastRowLastColumn="0"/>
            </w:pPr>
            <w:r>
              <w:t>5</w:t>
            </w:r>
          </w:p>
        </w:tc>
        <w:tc>
          <w:tcPr>
            <w:tcW w:w="2715" w:type="dxa"/>
          </w:tcPr>
          <w:p w14:paraId="02E6A4B2" w14:textId="29357273" w:rsidR="009D096B" w:rsidRPr="009D096B" w:rsidRDefault="002D3C54" w:rsidP="00B412C7">
            <w:pPr>
              <w:cnfStyle w:val="000000010000" w:firstRow="0" w:lastRow="0" w:firstColumn="0" w:lastColumn="0" w:oddVBand="0" w:evenVBand="0" w:oddHBand="0" w:evenHBand="1" w:firstRowFirstColumn="0" w:firstRowLastColumn="0" w:lastRowFirstColumn="0" w:lastRowLastColumn="0"/>
            </w:pPr>
            <w:r>
              <w:t>5</w:t>
            </w:r>
          </w:p>
        </w:tc>
        <w:tc>
          <w:tcPr>
            <w:tcW w:w="1870" w:type="dxa"/>
          </w:tcPr>
          <w:p w14:paraId="654900CD" w14:textId="77777777" w:rsid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100%</w:t>
            </w:r>
          </w:p>
        </w:tc>
      </w:tr>
    </w:tbl>
    <w:p w14:paraId="5FB2CFAA" w14:textId="77777777" w:rsidR="00D875A0" w:rsidRDefault="00D875A0" w:rsidP="009D096B">
      <w:pPr>
        <w:spacing w:after="0"/>
      </w:pPr>
    </w:p>
    <w:p w14:paraId="39FF71EB" w14:textId="77777777" w:rsidR="006154E5" w:rsidRDefault="006154E5" w:rsidP="009D096B">
      <w:pPr>
        <w:pStyle w:val="Heading6"/>
      </w:pPr>
    </w:p>
    <w:p w14:paraId="69D58ADE" w14:textId="3970DDF2" w:rsidR="00D875A0" w:rsidRDefault="00D875A0" w:rsidP="009D096B">
      <w:pPr>
        <w:pStyle w:val="Heading6"/>
      </w:pPr>
      <w:r>
        <w:t xml:space="preserve">Equipment and Facility </w:t>
      </w:r>
    </w:p>
    <w:p w14:paraId="403D45E2" w14:textId="2D7B4332" w:rsidR="00D875A0" w:rsidRDefault="00D875A0" w:rsidP="00D875A0">
      <w:r>
        <w:t xml:space="preserve">BMT reported supporting equipment including a bus washer, a fueling station, and </w:t>
      </w:r>
      <w:r w:rsidR="006154E5">
        <w:t xml:space="preserve">six </w:t>
      </w:r>
      <w:r>
        <w:t xml:space="preserve">pieces of maintenance equipment. The BMT supporting equipment ratings are summarized in </w:t>
      </w:r>
      <w:r w:rsidRPr="009D096B">
        <w:rPr>
          <w:b/>
        </w:rPr>
        <w:t xml:space="preserve">Table </w:t>
      </w:r>
      <w:r w:rsidR="009D096B" w:rsidRPr="009D096B">
        <w:rPr>
          <w:b/>
        </w:rPr>
        <w:t>6</w:t>
      </w:r>
      <w:r>
        <w:t xml:space="preserve">. The supporting facilities serving BMT transit program includes a </w:t>
      </w:r>
      <w:r w:rsidR="00A03F7F">
        <w:t xml:space="preserve">transit </w:t>
      </w:r>
      <w:r>
        <w:t>administrative office</w:t>
      </w:r>
      <w:r w:rsidR="00A03F7F">
        <w:t>s and maintenance shop</w:t>
      </w:r>
      <w:r>
        <w:t>/</w:t>
      </w:r>
      <w:r w:rsidR="00A03F7F">
        <w:t>yard</w:t>
      </w:r>
      <w:r>
        <w:t xml:space="preserve">, and </w:t>
      </w:r>
      <w:proofErr w:type="spellStart"/>
      <w:r w:rsidR="00A03F7F">
        <w:t>Dannenbaum</w:t>
      </w:r>
      <w:proofErr w:type="spellEnd"/>
      <w:r w:rsidR="00A03F7F">
        <w:t xml:space="preserve"> Station</w:t>
      </w:r>
      <w:r>
        <w:t>. Currently, these facilities are reported in good condition with a condition score</w:t>
      </w:r>
      <w:r w:rsidR="00A03F7F">
        <w:t>s of</w:t>
      </w:r>
      <w:r>
        <w:t xml:space="preserve"> 4</w:t>
      </w:r>
      <w:r w:rsidR="00A03F7F">
        <w:t>.0</w:t>
      </w:r>
      <w:r>
        <w:t xml:space="preserve"> based on the FTA TERM scale.</w:t>
      </w:r>
    </w:p>
    <w:p w14:paraId="09AEC3C6" w14:textId="77777777" w:rsidR="00D875A0" w:rsidRPr="009D096B" w:rsidRDefault="00D875A0" w:rsidP="009D096B">
      <w:pPr>
        <w:jc w:val="center"/>
        <w:rPr>
          <w:rStyle w:val="SubtleReference"/>
        </w:rPr>
      </w:pPr>
      <w:r w:rsidRPr="009D096B">
        <w:rPr>
          <w:rStyle w:val="SubtleReference"/>
        </w:rPr>
        <w:t xml:space="preserve">Table </w:t>
      </w:r>
      <w:r w:rsidR="009D096B" w:rsidRPr="009D096B">
        <w:rPr>
          <w:rStyle w:val="SubtleReference"/>
        </w:rPr>
        <w:t>6</w:t>
      </w:r>
      <w:r w:rsidRPr="009D096B">
        <w:rPr>
          <w:rStyle w:val="SubtleReference"/>
        </w:rPr>
        <w:t>: Supporting Equipment and Facility Rating</w:t>
      </w:r>
    </w:p>
    <w:tbl>
      <w:tblPr>
        <w:tblStyle w:val="Style2"/>
        <w:tblW w:w="0" w:type="auto"/>
        <w:tblInd w:w="5" w:type="dxa"/>
        <w:tblLook w:val="04A0" w:firstRow="1" w:lastRow="0" w:firstColumn="1" w:lastColumn="0" w:noHBand="0" w:noVBand="1"/>
      </w:tblPr>
      <w:tblGrid>
        <w:gridCol w:w="1615"/>
        <w:gridCol w:w="1620"/>
        <w:gridCol w:w="3150"/>
        <w:gridCol w:w="810"/>
        <w:gridCol w:w="2155"/>
      </w:tblGrid>
      <w:tr w:rsidR="009D096B" w:rsidRPr="009D096B" w14:paraId="65C5AD1F" w14:textId="77777777" w:rsidTr="00B239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15" w:type="dxa"/>
          </w:tcPr>
          <w:p w14:paraId="10994026" w14:textId="77777777" w:rsidR="009D096B" w:rsidRPr="009D096B" w:rsidRDefault="009D096B" w:rsidP="00B412C7">
            <w:r w:rsidRPr="009D096B">
              <w:t>Asset Category</w:t>
            </w:r>
          </w:p>
        </w:tc>
        <w:tc>
          <w:tcPr>
            <w:tcW w:w="1620" w:type="dxa"/>
          </w:tcPr>
          <w:p w14:paraId="623EB4A4"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Asset Class</w:t>
            </w:r>
          </w:p>
        </w:tc>
        <w:tc>
          <w:tcPr>
            <w:tcW w:w="3150" w:type="dxa"/>
          </w:tcPr>
          <w:p w14:paraId="1AA4D252"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Asset Type</w:t>
            </w:r>
          </w:p>
        </w:tc>
        <w:tc>
          <w:tcPr>
            <w:tcW w:w="810" w:type="dxa"/>
          </w:tcPr>
          <w:p w14:paraId="402545FE"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 xml:space="preserve">Count </w:t>
            </w:r>
          </w:p>
        </w:tc>
        <w:tc>
          <w:tcPr>
            <w:tcW w:w="2155" w:type="dxa"/>
          </w:tcPr>
          <w:p w14:paraId="70FAEF92" w14:textId="77777777" w:rsidR="009D096B" w:rsidRPr="009D096B" w:rsidRDefault="009D096B" w:rsidP="00B412C7">
            <w:pPr>
              <w:cnfStyle w:val="100000000000" w:firstRow="1" w:lastRow="0" w:firstColumn="0" w:lastColumn="0" w:oddVBand="0" w:evenVBand="0" w:oddHBand="0" w:evenHBand="0" w:firstRowFirstColumn="0" w:firstRowLastColumn="0" w:lastRowFirstColumn="0" w:lastRowLastColumn="0"/>
            </w:pPr>
            <w:r w:rsidRPr="009D096B">
              <w:t>Condition Score Based on TERM Scale</w:t>
            </w:r>
          </w:p>
        </w:tc>
      </w:tr>
      <w:tr w:rsidR="009D096B" w:rsidRPr="009D096B" w14:paraId="12F5BDED"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val="restart"/>
          </w:tcPr>
          <w:p w14:paraId="6B8F6C7B" w14:textId="77777777" w:rsidR="009D096B" w:rsidRPr="009D096B" w:rsidRDefault="009D096B" w:rsidP="00B412C7">
            <w:r w:rsidRPr="009D096B">
              <w:t>Equipment</w:t>
            </w:r>
          </w:p>
        </w:tc>
        <w:tc>
          <w:tcPr>
            <w:tcW w:w="1620" w:type="dxa"/>
            <w:vMerge w:val="restart"/>
          </w:tcPr>
          <w:p w14:paraId="78418BF0"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Maintenance Equipment</w:t>
            </w:r>
          </w:p>
        </w:tc>
        <w:tc>
          <w:tcPr>
            <w:tcW w:w="3150" w:type="dxa"/>
          </w:tcPr>
          <w:p w14:paraId="05A26DB4"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Star Transromantic Brake Lathe</w:t>
            </w:r>
          </w:p>
        </w:tc>
        <w:tc>
          <w:tcPr>
            <w:tcW w:w="810" w:type="dxa"/>
          </w:tcPr>
          <w:p w14:paraId="43573B14"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w:t>
            </w:r>
          </w:p>
        </w:tc>
        <w:tc>
          <w:tcPr>
            <w:tcW w:w="2155" w:type="dxa"/>
          </w:tcPr>
          <w:p w14:paraId="048239F2"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4.0</w:t>
            </w:r>
          </w:p>
        </w:tc>
      </w:tr>
      <w:tr w:rsidR="009D096B" w:rsidRPr="009D096B" w14:paraId="54635C1E"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7883EBBC" w14:textId="77777777" w:rsidR="009D096B" w:rsidRPr="009D096B" w:rsidRDefault="009D096B" w:rsidP="00B412C7"/>
        </w:tc>
        <w:tc>
          <w:tcPr>
            <w:tcW w:w="1620" w:type="dxa"/>
            <w:vMerge/>
          </w:tcPr>
          <w:p w14:paraId="77F785CD"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p>
        </w:tc>
        <w:tc>
          <w:tcPr>
            <w:tcW w:w="3150" w:type="dxa"/>
          </w:tcPr>
          <w:p w14:paraId="6DD50913"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Owatonna 100 Ton Hydraulic Press</w:t>
            </w:r>
          </w:p>
        </w:tc>
        <w:tc>
          <w:tcPr>
            <w:tcW w:w="810" w:type="dxa"/>
          </w:tcPr>
          <w:p w14:paraId="20CA04A2"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1</w:t>
            </w:r>
          </w:p>
        </w:tc>
        <w:tc>
          <w:tcPr>
            <w:tcW w:w="2155" w:type="dxa"/>
          </w:tcPr>
          <w:p w14:paraId="01206F88"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4.0</w:t>
            </w:r>
          </w:p>
        </w:tc>
      </w:tr>
      <w:tr w:rsidR="009D096B" w:rsidRPr="009D096B" w14:paraId="7731A907"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02D1CF15" w14:textId="77777777" w:rsidR="009D096B" w:rsidRPr="009D096B" w:rsidRDefault="009D096B" w:rsidP="00B412C7"/>
        </w:tc>
        <w:tc>
          <w:tcPr>
            <w:tcW w:w="1620" w:type="dxa"/>
            <w:vMerge/>
          </w:tcPr>
          <w:p w14:paraId="460211F3"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p>
        </w:tc>
        <w:tc>
          <w:tcPr>
            <w:tcW w:w="3150" w:type="dxa"/>
          </w:tcPr>
          <w:p w14:paraId="58776F65"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Snap On 134A Refrigerant Recycler</w:t>
            </w:r>
          </w:p>
        </w:tc>
        <w:tc>
          <w:tcPr>
            <w:tcW w:w="810" w:type="dxa"/>
          </w:tcPr>
          <w:p w14:paraId="78F9578B"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w:t>
            </w:r>
          </w:p>
        </w:tc>
        <w:tc>
          <w:tcPr>
            <w:tcW w:w="2155" w:type="dxa"/>
          </w:tcPr>
          <w:p w14:paraId="10A0783E"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4.0</w:t>
            </w:r>
          </w:p>
        </w:tc>
      </w:tr>
      <w:tr w:rsidR="009D096B" w:rsidRPr="009D096B" w14:paraId="2621557B"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472E6ED3" w14:textId="77777777" w:rsidR="009D096B" w:rsidRPr="009D096B" w:rsidRDefault="009D096B" w:rsidP="00B412C7"/>
        </w:tc>
        <w:tc>
          <w:tcPr>
            <w:tcW w:w="1620" w:type="dxa"/>
            <w:vMerge/>
          </w:tcPr>
          <w:p w14:paraId="5B5E631A"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p>
        </w:tc>
        <w:tc>
          <w:tcPr>
            <w:tcW w:w="3150" w:type="dxa"/>
          </w:tcPr>
          <w:p w14:paraId="4F0CBD1A"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Tenant Sweep and Scrub</w:t>
            </w:r>
          </w:p>
        </w:tc>
        <w:tc>
          <w:tcPr>
            <w:tcW w:w="810" w:type="dxa"/>
          </w:tcPr>
          <w:p w14:paraId="36BF746C"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1</w:t>
            </w:r>
          </w:p>
        </w:tc>
        <w:tc>
          <w:tcPr>
            <w:tcW w:w="2155" w:type="dxa"/>
          </w:tcPr>
          <w:p w14:paraId="69E2353D"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4.0</w:t>
            </w:r>
          </w:p>
        </w:tc>
      </w:tr>
      <w:tr w:rsidR="009D096B" w:rsidRPr="009D096B" w14:paraId="5F935D95"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67D90DDF" w14:textId="77777777" w:rsidR="009D096B" w:rsidRPr="009D096B" w:rsidRDefault="009D096B" w:rsidP="00B412C7"/>
        </w:tc>
        <w:tc>
          <w:tcPr>
            <w:tcW w:w="1620" w:type="dxa"/>
            <w:vMerge/>
          </w:tcPr>
          <w:p w14:paraId="0CF61B14"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p>
        </w:tc>
        <w:tc>
          <w:tcPr>
            <w:tcW w:w="3150" w:type="dxa"/>
          </w:tcPr>
          <w:p w14:paraId="5879736E"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Hyster H12XM Forklift</w:t>
            </w:r>
          </w:p>
        </w:tc>
        <w:tc>
          <w:tcPr>
            <w:tcW w:w="810" w:type="dxa"/>
          </w:tcPr>
          <w:p w14:paraId="464E2065"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w:t>
            </w:r>
          </w:p>
        </w:tc>
        <w:tc>
          <w:tcPr>
            <w:tcW w:w="2155" w:type="dxa"/>
          </w:tcPr>
          <w:p w14:paraId="3E3DAFF0"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4.0</w:t>
            </w:r>
          </w:p>
        </w:tc>
      </w:tr>
      <w:tr w:rsidR="009D096B" w:rsidRPr="009D096B" w14:paraId="7527EFA5"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3379FD57" w14:textId="77777777" w:rsidR="009D096B" w:rsidRPr="009D096B" w:rsidRDefault="009D096B" w:rsidP="00B412C7"/>
        </w:tc>
        <w:tc>
          <w:tcPr>
            <w:tcW w:w="1620" w:type="dxa"/>
            <w:vMerge/>
          </w:tcPr>
          <w:p w14:paraId="69F8AEC5"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p>
        </w:tc>
        <w:tc>
          <w:tcPr>
            <w:tcW w:w="3150" w:type="dxa"/>
          </w:tcPr>
          <w:p w14:paraId="0455B64E"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ARI HEDRA Portable Lift System</w:t>
            </w:r>
          </w:p>
        </w:tc>
        <w:tc>
          <w:tcPr>
            <w:tcW w:w="810" w:type="dxa"/>
          </w:tcPr>
          <w:p w14:paraId="673F6FAD"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1</w:t>
            </w:r>
          </w:p>
        </w:tc>
        <w:tc>
          <w:tcPr>
            <w:tcW w:w="2155" w:type="dxa"/>
          </w:tcPr>
          <w:p w14:paraId="07AC3989"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4.0</w:t>
            </w:r>
          </w:p>
        </w:tc>
      </w:tr>
      <w:tr w:rsidR="009D096B" w:rsidRPr="009D096B" w14:paraId="49435BE6"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18217399" w14:textId="77777777" w:rsidR="009D096B" w:rsidRPr="009D096B" w:rsidRDefault="009D096B" w:rsidP="00B412C7"/>
        </w:tc>
        <w:tc>
          <w:tcPr>
            <w:tcW w:w="1620" w:type="dxa"/>
          </w:tcPr>
          <w:p w14:paraId="565C625D"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Bus Washer</w:t>
            </w:r>
          </w:p>
        </w:tc>
        <w:tc>
          <w:tcPr>
            <w:tcW w:w="3150" w:type="dxa"/>
          </w:tcPr>
          <w:p w14:paraId="313662F3"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Bus Washer</w:t>
            </w:r>
          </w:p>
        </w:tc>
        <w:tc>
          <w:tcPr>
            <w:tcW w:w="810" w:type="dxa"/>
          </w:tcPr>
          <w:p w14:paraId="0E7EE3F7"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w:t>
            </w:r>
          </w:p>
        </w:tc>
        <w:tc>
          <w:tcPr>
            <w:tcW w:w="2155" w:type="dxa"/>
          </w:tcPr>
          <w:p w14:paraId="34FC2C7C"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4.0</w:t>
            </w:r>
          </w:p>
        </w:tc>
      </w:tr>
      <w:tr w:rsidR="009D096B" w:rsidRPr="009D096B" w14:paraId="5DF9C9AC"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38297201" w14:textId="77777777" w:rsidR="009D096B" w:rsidRPr="009D096B" w:rsidRDefault="009D096B" w:rsidP="00B412C7"/>
        </w:tc>
        <w:tc>
          <w:tcPr>
            <w:tcW w:w="1620" w:type="dxa"/>
          </w:tcPr>
          <w:p w14:paraId="290755F9"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Fueling Station</w:t>
            </w:r>
          </w:p>
        </w:tc>
        <w:tc>
          <w:tcPr>
            <w:tcW w:w="3150" w:type="dxa"/>
          </w:tcPr>
          <w:p w14:paraId="197A017C"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Pinnacle CNG Fast Fill Fueling Station</w:t>
            </w:r>
          </w:p>
        </w:tc>
        <w:tc>
          <w:tcPr>
            <w:tcW w:w="810" w:type="dxa"/>
          </w:tcPr>
          <w:p w14:paraId="7897A538"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1</w:t>
            </w:r>
          </w:p>
        </w:tc>
        <w:tc>
          <w:tcPr>
            <w:tcW w:w="2155" w:type="dxa"/>
          </w:tcPr>
          <w:p w14:paraId="6CAA57DE"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4.0</w:t>
            </w:r>
          </w:p>
        </w:tc>
      </w:tr>
      <w:tr w:rsidR="009D096B" w:rsidRPr="009D096B" w14:paraId="5BC519B8"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val="restart"/>
          </w:tcPr>
          <w:p w14:paraId="52BAA639" w14:textId="77777777" w:rsidR="009D096B" w:rsidRPr="009D096B" w:rsidRDefault="009D096B" w:rsidP="00B412C7">
            <w:r w:rsidRPr="009D096B">
              <w:t>Facility</w:t>
            </w:r>
          </w:p>
        </w:tc>
        <w:tc>
          <w:tcPr>
            <w:tcW w:w="1620" w:type="dxa"/>
          </w:tcPr>
          <w:p w14:paraId="5D87B145"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 xml:space="preserve">Supporting Facility </w:t>
            </w:r>
          </w:p>
        </w:tc>
        <w:tc>
          <w:tcPr>
            <w:tcW w:w="3150" w:type="dxa"/>
          </w:tcPr>
          <w:p w14:paraId="39A898BB"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 xml:space="preserve">Transit Administrative Offices and Maintenance shop/yard </w:t>
            </w:r>
          </w:p>
        </w:tc>
        <w:tc>
          <w:tcPr>
            <w:tcW w:w="810" w:type="dxa"/>
          </w:tcPr>
          <w:p w14:paraId="13F810A8"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1</w:t>
            </w:r>
          </w:p>
        </w:tc>
        <w:tc>
          <w:tcPr>
            <w:tcW w:w="2155" w:type="dxa"/>
          </w:tcPr>
          <w:p w14:paraId="2EA3C4E4" w14:textId="77777777" w:rsidR="009D096B" w:rsidRPr="009D096B" w:rsidRDefault="009D096B" w:rsidP="00B412C7">
            <w:pPr>
              <w:cnfStyle w:val="000000100000" w:firstRow="0" w:lastRow="0" w:firstColumn="0" w:lastColumn="0" w:oddVBand="0" w:evenVBand="0" w:oddHBand="1" w:evenHBand="0" w:firstRowFirstColumn="0" w:firstRowLastColumn="0" w:lastRowFirstColumn="0" w:lastRowLastColumn="0"/>
            </w:pPr>
            <w:r w:rsidRPr="009D096B">
              <w:t>4.0</w:t>
            </w:r>
          </w:p>
        </w:tc>
      </w:tr>
      <w:tr w:rsidR="009D096B" w14:paraId="047D8128" w14:textId="77777777" w:rsidTr="00B23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14:paraId="33789F35" w14:textId="77777777" w:rsidR="009D096B" w:rsidRPr="009D096B" w:rsidRDefault="009D096B" w:rsidP="00B412C7"/>
        </w:tc>
        <w:tc>
          <w:tcPr>
            <w:tcW w:w="1620" w:type="dxa"/>
          </w:tcPr>
          <w:p w14:paraId="3580754B"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 xml:space="preserve">Passenger Facility </w:t>
            </w:r>
          </w:p>
        </w:tc>
        <w:tc>
          <w:tcPr>
            <w:tcW w:w="3150" w:type="dxa"/>
          </w:tcPr>
          <w:p w14:paraId="1C208B33"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Dannenbaum Station (Central Transfer Point)</w:t>
            </w:r>
          </w:p>
        </w:tc>
        <w:tc>
          <w:tcPr>
            <w:tcW w:w="810" w:type="dxa"/>
          </w:tcPr>
          <w:p w14:paraId="2788EBE9" w14:textId="77777777" w:rsidR="009D096B" w:rsidRP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1</w:t>
            </w:r>
          </w:p>
        </w:tc>
        <w:tc>
          <w:tcPr>
            <w:tcW w:w="2155" w:type="dxa"/>
          </w:tcPr>
          <w:p w14:paraId="4ACF0EF4" w14:textId="77777777" w:rsidR="009D096B" w:rsidRDefault="009D096B" w:rsidP="00B412C7">
            <w:pPr>
              <w:cnfStyle w:val="000000010000" w:firstRow="0" w:lastRow="0" w:firstColumn="0" w:lastColumn="0" w:oddVBand="0" w:evenVBand="0" w:oddHBand="0" w:evenHBand="1" w:firstRowFirstColumn="0" w:firstRowLastColumn="0" w:lastRowFirstColumn="0" w:lastRowLastColumn="0"/>
            </w:pPr>
            <w:r w:rsidRPr="009D096B">
              <w:t>4.0</w:t>
            </w:r>
          </w:p>
        </w:tc>
      </w:tr>
    </w:tbl>
    <w:p w14:paraId="5DD09F31" w14:textId="77777777" w:rsidR="00D875A0" w:rsidRDefault="00D875A0" w:rsidP="00B239F7">
      <w:pPr>
        <w:spacing w:after="0"/>
      </w:pPr>
    </w:p>
    <w:p w14:paraId="2777F577" w14:textId="77777777" w:rsidR="00D875A0" w:rsidRDefault="00D875A0" w:rsidP="00B239F7">
      <w:pPr>
        <w:pStyle w:val="Heading4"/>
      </w:pPr>
      <w:r>
        <w:t xml:space="preserve">PERFORMANCE TARGETS AND MEASURES </w:t>
      </w:r>
    </w:p>
    <w:p w14:paraId="4010A7D4" w14:textId="77777777" w:rsidR="00D875A0" w:rsidRDefault="00D875A0" w:rsidP="00D875A0">
      <w:r>
        <w:t>Condition assessment is a systematic process of inspecting and evaluating the condition of transit assets. A well</w:t>
      </w:r>
      <w:r>
        <w:rPr>
          <w:rFonts w:ascii="Cambria Math" w:hAnsi="Cambria Math" w:cs="Cambria Math"/>
        </w:rPr>
        <w:t>‐</w:t>
      </w:r>
      <w:r>
        <w:t>established condition assessment process can directly support proactive planning for the investments required to maintain good condition and good performance of transit assets. Condition assessment provides the tools to help predict failure, identify unacceptable safety risks, and evaluate the root causes of premature asset failures.</w:t>
      </w:r>
    </w:p>
    <w:p w14:paraId="5A03426F" w14:textId="77777777" w:rsidR="00D875A0" w:rsidRDefault="00D875A0" w:rsidP="00D875A0">
      <w:r>
        <w:t xml:space="preserve">The core of element of condition assessment is to establish a performance target for an asset class, and then assess each asset’s condition against the set target. If a gap exists between the </w:t>
      </w:r>
      <w:r>
        <w:lastRenderedPageBreak/>
        <w:t>target and the condition of assets, then strategies and programs can be developed to bring the assets up to the targeted condition.</w:t>
      </w:r>
    </w:p>
    <w:p w14:paraId="4A189509" w14:textId="77777777" w:rsidR="00D875A0" w:rsidRDefault="00D875A0" w:rsidP="00B239F7">
      <w:pPr>
        <w:pStyle w:val="Heading5"/>
      </w:pPr>
      <w:r>
        <w:t xml:space="preserve">Performance Measures </w:t>
      </w:r>
    </w:p>
    <w:p w14:paraId="2C1A45A6" w14:textId="77777777" w:rsidR="00D875A0" w:rsidRDefault="00D875A0" w:rsidP="00D875A0">
      <w:r>
        <w:t>Having well maintained, reliable transit assets will help ensure safe, dependable and accessible services. According to the FTA, SGR is “the condition in which a capital asset is able to operate at a full level of performance.” (TAM Final Rule 49 USC 625, §625.5) This means the asset can perform its designed function, b) does not pose a known unacceptable safety risk, and c) its lifecycle investments have been met or recovered. This definition of SGR has been developed based on a condition or performance assessment, rather than on maintenance or replacement activities.</w:t>
      </w:r>
    </w:p>
    <w:p w14:paraId="06EEC0CF" w14:textId="33D7FBE2" w:rsidR="00D875A0" w:rsidRDefault="00D875A0" w:rsidP="00D875A0">
      <w:r>
        <w:t>The SGR definition from FTA’s TAM Final Rule has been adopted for this TAMP. The definition of SGR is important because it relates to the appropriate targets and measure progress relative to a set benchmark. The SGR</w:t>
      </w:r>
      <w:r w:rsidR="006154E5">
        <w:t xml:space="preserve"> measure</w:t>
      </w:r>
      <w:r>
        <w:t xml:space="preserve"> therefore provides direction and guidance for the entire TAMP process of systematic and data</w:t>
      </w:r>
      <w:r>
        <w:rPr>
          <w:rFonts w:ascii="Cambria Math" w:hAnsi="Cambria Math" w:cs="Cambria Math"/>
        </w:rPr>
        <w:t>‐</w:t>
      </w:r>
      <w:r>
        <w:t xml:space="preserve"> driven asset management.</w:t>
      </w:r>
    </w:p>
    <w:p w14:paraId="10676DF7" w14:textId="5902940A" w:rsidR="00D875A0" w:rsidRDefault="00D875A0" w:rsidP="00D875A0">
      <w:r>
        <w:t>FTA TAM Final Rule established three performance measures which are a minimum national standard for transit operators. These performance measures are:</w:t>
      </w:r>
    </w:p>
    <w:p w14:paraId="6AF24903" w14:textId="77777777" w:rsidR="00D875A0" w:rsidRDefault="00D875A0" w:rsidP="00B239F7">
      <w:pPr>
        <w:pStyle w:val="ListBullets"/>
      </w:pPr>
      <w:r w:rsidRPr="00B239F7">
        <w:rPr>
          <w:b/>
        </w:rPr>
        <w:t>Rolling Stock:</w:t>
      </w:r>
      <w:r>
        <w:t xml:space="preserve"> The percentage of revenue and non-revenue vehicles by type that exceed the useful life benchmark (ULB) for age.</w:t>
      </w:r>
    </w:p>
    <w:p w14:paraId="6BE7DF57" w14:textId="77777777" w:rsidR="00D875A0" w:rsidRDefault="00D875A0" w:rsidP="00B239F7">
      <w:pPr>
        <w:pStyle w:val="ListBullets"/>
      </w:pPr>
      <w:r w:rsidRPr="00B239F7">
        <w:rPr>
          <w:b/>
        </w:rPr>
        <w:t xml:space="preserve">Equipment: </w:t>
      </w:r>
      <w:r>
        <w:t>The percentage of equipment with a value over a threshold of $50,000 by group that are rated less than 3.0 on the TERM scale.</w:t>
      </w:r>
    </w:p>
    <w:p w14:paraId="396FF222" w14:textId="77777777" w:rsidR="00D875A0" w:rsidRDefault="00D875A0" w:rsidP="00B239F7">
      <w:pPr>
        <w:pStyle w:val="ListBullets"/>
      </w:pPr>
      <w:r w:rsidRPr="00B239F7">
        <w:rPr>
          <w:b/>
        </w:rPr>
        <w:t>Facilities:</w:t>
      </w:r>
      <w:r>
        <w:t xml:space="preserve"> The percentage of facilities with a value over a threshold of $50,000 by group that are rated less than 3.0 on the TERM scale.</w:t>
      </w:r>
    </w:p>
    <w:p w14:paraId="16A8E0FD" w14:textId="77777777" w:rsidR="00D875A0" w:rsidRDefault="00D875A0" w:rsidP="00D875A0">
      <w:r>
        <w:t xml:space="preserve">BMT adopted age and mileage ULBs for its vehicles and used the FTA minimum performance measures for TERM rating for equipment and facilities as detailed above to set the performance target for rural transit service program. </w:t>
      </w:r>
    </w:p>
    <w:p w14:paraId="67CC0D32" w14:textId="77777777" w:rsidR="00D875A0" w:rsidRDefault="00D875A0" w:rsidP="00B239F7">
      <w:pPr>
        <w:pStyle w:val="Heading5"/>
      </w:pPr>
      <w:r>
        <w:t xml:space="preserve">Performance Targets </w:t>
      </w:r>
    </w:p>
    <w:p w14:paraId="1A23155A" w14:textId="2404F0A3" w:rsidR="00D875A0" w:rsidRDefault="00D875A0" w:rsidP="00D875A0">
      <w:r>
        <w:t>BMT set the performance target based on the asset type, condition rating and the available funding for Fiscal Year (FY) 2018</w:t>
      </w:r>
      <w:r w:rsidR="00BA65F0">
        <w:t xml:space="preserve"> and FY 2019</w:t>
      </w:r>
      <w:r>
        <w:t xml:space="preserve">. BMT will optimize capital investment to achieve the target. </w:t>
      </w:r>
    </w:p>
    <w:p w14:paraId="4EF6DD89" w14:textId="77777777" w:rsidR="00D875A0" w:rsidRDefault="00D875A0" w:rsidP="00B239F7">
      <w:pPr>
        <w:pStyle w:val="Heading6"/>
      </w:pPr>
      <w:r>
        <w:t>Vehicle Condition Targets</w:t>
      </w:r>
    </w:p>
    <w:p w14:paraId="6F9DA151" w14:textId="7FC50452" w:rsidR="00D875A0" w:rsidRDefault="00D875A0" w:rsidP="00D875A0">
      <w:r>
        <w:t xml:space="preserve">Since revenue vehicles carry passengers, there is higher risk associated with their SGR conditions. Therefore, it is very important to prioritize the capital investment in revenue vehicles. The vehicle condition assessment revealed that </w:t>
      </w:r>
      <w:r w:rsidR="002D3C54">
        <w:t xml:space="preserve">3 </w:t>
      </w:r>
      <w:r>
        <w:t xml:space="preserve">revenue vehicles were reported as exceeding their ULBs for either age or mileage. Of these </w:t>
      </w:r>
      <w:r w:rsidR="002D3C54">
        <w:t xml:space="preserve">3 </w:t>
      </w:r>
      <w:r>
        <w:t xml:space="preserve">vehicles, all </w:t>
      </w:r>
      <w:r w:rsidR="002D3C54">
        <w:t xml:space="preserve">three </w:t>
      </w:r>
      <w:r>
        <w:t xml:space="preserve">are vans. Recognizing the importance of the </w:t>
      </w:r>
      <w:r w:rsidR="002D3C54">
        <w:t xml:space="preserve">3 </w:t>
      </w:r>
      <w:r>
        <w:t xml:space="preserve">revenue vehicles and their current conditions, a target of 25% is suggested to balance the need to bring the transit fleet to a better compliance with SGR, while considering that the available budget does not allow replacement of all vehicles immediately. </w:t>
      </w:r>
    </w:p>
    <w:p w14:paraId="0D428462" w14:textId="476F51CF" w:rsidR="00D875A0" w:rsidRDefault="006154E5" w:rsidP="00D875A0">
      <w:r>
        <w:t>S</w:t>
      </w:r>
      <w:r w:rsidR="00D875A0">
        <w:t xml:space="preserve">pare vehicles are </w:t>
      </w:r>
      <w:r>
        <w:t xml:space="preserve">those </w:t>
      </w:r>
      <w:r w:rsidR="00D875A0">
        <w:t>used when a revenue vehicle is out of service. These vehicles may only be used a few times a month. The spare vehicle condition assessment revealed that</w:t>
      </w:r>
      <w:r w:rsidR="00D109EA">
        <w:t xml:space="preserve"> six</w:t>
      </w:r>
      <w:r w:rsidR="00D875A0">
        <w:t xml:space="preserve"> of the</w:t>
      </w:r>
      <w:r w:rsidR="00D109EA">
        <w:t xml:space="preserve"> </w:t>
      </w:r>
      <w:r w:rsidR="00D109EA">
        <w:lastRenderedPageBreak/>
        <w:t>eleven</w:t>
      </w:r>
      <w:r w:rsidR="00D875A0">
        <w:t xml:space="preserve"> spare vehicles were reported as exceeding their ULBs for either age or mileage. Of these </w:t>
      </w:r>
      <w:r w:rsidR="002D3C54">
        <w:t xml:space="preserve">six </w:t>
      </w:r>
      <w:r w:rsidR="00D875A0">
        <w:t xml:space="preserve">vehicles, one is bus and </w:t>
      </w:r>
      <w:r w:rsidR="002D3C54">
        <w:t xml:space="preserve">five </w:t>
      </w:r>
      <w:r w:rsidR="00D875A0">
        <w:t>are vans. Because the spare vehicles are not as important as the revenue vehicles that operate more frequently, FTA does not require ULB targets to be set. In practice, spare vehicles are often revenue vehicles which are retired and replaced, so 100% of spare vehicles may be beyond their ULB. However, as revenue vehicles are retired and shifted to the spare fleet, they have exceeded their ULB by smaller margins, so the overall condition of the spare fleet is improved Facility Condition Targets.</w:t>
      </w:r>
    </w:p>
    <w:p w14:paraId="3A9FC221" w14:textId="77777777" w:rsidR="00F246AB" w:rsidRDefault="00F246AB" w:rsidP="00F246AB">
      <w:pPr>
        <w:pStyle w:val="Heading6"/>
      </w:pPr>
      <w:r>
        <w:t>Facilities Condition Targets</w:t>
      </w:r>
    </w:p>
    <w:p w14:paraId="072E5740" w14:textId="7DFCBA75" w:rsidR="00D875A0" w:rsidRDefault="00D875A0" w:rsidP="00D875A0">
      <w:r>
        <w:t xml:space="preserve">Supporting facilities include offices for receiving calls, booking trips, and </w:t>
      </w:r>
      <w:r w:rsidR="0099661C">
        <w:t xml:space="preserve">dispatching </w:t>
      </w:r>
      <w:r>
        <w:t xml:space="preserve">vehicles, and are therefore as critical to operations as the vehicles themselves. Recognizing the importance of this facility class and their current condition, setting a target of 25% in below a TERM Condition of 3.0 seems appropriate. In the current inventory, </w:t>
      </w:r>
      <w:proofErr w:type="gramStart"/>
      <w:r>
        <w:t>both of the two</w:t>
      </w:r>
      <w:proofErr w:type="gramEnd"/>
      <w:r>
        <w:t xml:space="preserve"> supporting facilities are reported in “good” condition for 100% compliance with the benchmark.</w:t>
      </w:r>
    </w:p>
    <w:p w14:paraId="17D5DE16" w14:textId="77777777" w:rsidR="00D875A0" w:rsidRDefault="00D875A0" w:rsidP="00B239F7">
      <w:pPr>
        <w:pStyle w:val="Heading6"/>
      </w:pPr>
      <w:r>
        <w:t>Equipment Condition Targets</w:t>
      </w:r>
    </w:p>
    <w:p w14:paraId="02B5AF70" w14:textId="6E295B47" w:rsidR="00D875A0" w:rsidRDefault="00D875A0" w:rsidP="00D875A0">
      <w:r>
        <w:t>Equipment is vital to long</w:t>
      </w:r>
      <w:r>
        <w:rPr>
          <w:rFonts w:ascii="Cambria Math" w:hAnsi="Cambria Math" w:cs="Cambria Math"/>
        </w:rPr>
        <w:t>‐</w:t>
      </w:r>
      <w:r>
        <w:t>term operation of the fleet but is somewhat less critical for day</w:t>
      </w:r>
      <w:r>
        <w:rPr>
          <w:rFonts w:ascii="Cambria Math" w:hAnsi="Cambria Math" w:cs="Cambria Math"/>
        </w:rPr>
        <w:t>‐</w:t>
      </w:r>
      <w:r>
        <w:t>to</w:t>
      </w:r>
      <w:r>
        <w:rPr>
          <w:rFonts w:ascii="Cambria Math" w:hAnsi="Cambria Math" w:cs="Cambria Math"/>
        </w:rPr>
        <w:t>‐</w:t>
      </w:r>
      <w:r>
        <w:t xml:space="preserve"> day operations. The availability of commercial mechanics provides a back</w:t>
      </w:r>
      <w:r>
        <w:rPr>
          <w:rFonts w:ascii="Cambria Math" w:hAnsi="Cambria Math" w:cs="Cambria Math"/>
        </w:rPr>
        <w:t>‐</w:t>
      </w:r>
      <w:r>
        <w:t xml:space="preserve">up maintenance function, and some providers rely on them exclusively. The target for maintenance equipment can therefore safely be set lower than revenue vehicles. Currently, all reported bus washer, fueling station, other maintenance equipment </w:t>
      </w:r>
      <w:r w:rsidR="002D3C54">
        <w:t>was</w:t>
      </w:r>
      <w:r>
        <w:t xml:space="preserve"> reported as meeting the benchmark of “good” condition. Due to the availability of commercial mechanics provides a back</w:t>
      </w:r>
      <w:r>
        <w:rPr>
          <w:rFonts w:ascii="Cambria Math" w:hAnsi="Cambria Math" w:cs="Cambria Math"/>
        </w:rPr>
        <w:t>‐</w:t>
      </w:r>
      <w:r>
        <w:t xml:space="preserve">up maintenance function, a lower target of 50% is set for the equipment to prioritize revenue vehicles. </w:t>
      </w:r>
    </w:p>
    <w:p w14:paraId="058CF8EB" w14:textId="77777777" w:rsidR="00D875A0" w:rsidRDefault="00D875A0" w:rsidP="00B239F7">
      <w:pPr>
        <w:pStyle w:val="Heading6"/>
      </w:pPr>
      <w:r>
        <w:t xml:space="preserve">Summary of Performance Targets </w:t>
      </w:r>
    </w:p>
    <w:p w14:paraId="0C360A0B" w14:textId="0414667D" w:rsidR="00D875A0" w:rsidRDefault="00D875A0" w:rsidP="00D875A0">
      <w:r w:rsidRPr="00B239F7">
        <w:rPr>
          <w:b/>
        </w:rPr>
        <w:t>Table</w:t>
      </w:r>
      <w:r w:rsidR="00060458">
        <w:rPr>
          <w:b/>
        </w:rPr>
        <w:t>s</w:t>
      </w:r>
      <w:r w:rsidRPr="00B239F7">
        <w:rPr>
          <w:b/>
        </w:rPr>
        <w:t xml:space="preserve"> </w:t>
      </w:r>
      <w:r w:rsidR="00B239F7">
        <w:rPr>
          <w:b/>
        </w:rPr>
        <w:t>7</w:t>
      </w:r>
      <w:r w:rsidR="00060458">
        <w:t>,</w:t>
      </w:r>
      <w:r w:rsidRPr="00B239F7">
        <w:rPr>
          <w:b/>
        </w:rPr>
        <w:t xml:space="preserve"> </w:t>
      </w:r>
      <w:r w:rsidR="00060458">
        <w:rPr>
          <w:b/>
        </w:rPr>
        <w:t xml:space="preserve">8, 9, and </w:t>
      </w:r>
      <w:r w:rsidR="00B239F7">
        <w:rPr>
          <w:b/>
        </w:rPr>
        <w:t>10</w:t>
      </w:r>
      <w:r>
        <w:t xml:space="preserve"> provide summaries of performance targets for different asset classes</w:t>
      </w:r>
      <w:r w:rsidR="00060458">
        <w:t xml:space="preserve"> (Revenue Vehicles, Non-Revenue Vehicles, Facilities, and Equipment)</w:t>
      </w:r>
      <w:r>
        <w:t>.</w:t>
      </w:r>
    </w:p>
    <w:p w14:paraId="1DAC7F4A" w14:textId="77777777" w:rsidR="00060458" w:rsidRDefault="00060458" w:rsidP="00D875A0"/>
    <w:p w14:paraId="102C0418" w14:textId="77777777" w:rsidR="00D875A0" w:rsidRPr="00B239F7" w:rsidRDefault="00D875A0" w:rsidP="00B239F7">
      <w:pPr>
        <w:jc w:val="center"/>
        <w:rPr>
          <w:rStyle w:val="SubtleReference"/>
        </w:rPr>
      </w:pPr>
      <w:r w:rsidRPr="00B239F7">
        <w:rPr>
          <w:rStyle w:val="SubtleReference"/>
        </w:rPr>
        <w:t xml:space="preserve">Table </w:t>
      </w:r>
      <w:r w:rsidR="00B239F7" w:rsidRPr="00B239F7">
        <w:rPr>
          <w:rStyle w:val="SubtleReference"/>
        </w:rPr>
        <w:t>7</w:t>
      </w:r>
      <w:r w:rsidRPr="00B239F7">
        <w:rPr>
          <w:rStyle w:val="SubtleReference"/>
        </w:rPr>
        <w:t>: SGR Performance Targets for Revenue Vehicles</w:t>
      </w:r>
    </w:p>
    <w:tbl>
      <w:tblPr>
        <w:tblStyle w:val="Style2"/>
        <w:tblW w:w="0" w:type="auto"/>
        <w:tblLook w:val="04A0" w:firstRow="1" w:lastRow="0" w:firstColumn="1" w:lastColumn="0" w:noHBand="0" w:noVBand="1"/>
      </w:tblPr>
      <w:tblGrid>
        <w:gridCol w:w="1980"/>
        <w:gridCol w:w="720"/>
        <w:gridCol w:w="2910"/>
        <w:gridCol w:w="2310"/>
        <w:gridCol w:w="1430"/>
      </w:tblGrid>
      <w:tr w:rsidR="00B239F7" w:rsidRPr="00B239F7" w14:paraId="58A5F891" w14:textId="77777777" w:rsidTr="00B239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03A5B3C3" w14:textId="77777777" w:rsidR="00B239F7" w:rsidRPr="00151142" w:rsidRDefault="00B239F7" w:rsidP="00B239F7">
            <w:r w:rsidRPr="00151142">
              <w:t>Asset Class</w:t>
            </w:r>
          </w:p>
        </w:tc>
        <w:tc>
          <w:tcPr>
            <w:tcW w:w="720" w:type="dxa"/>
          </w:tcPr>
          <w:p w14:paraId="06EDE54F" w14:textId="77777777" w:rsidR="00B239F7" w:rsidRPr="00151142" w:rsidRDefault="00B239F7" w:rsidP="00B239F7">
            <w:pPr>
              <w:cnfStyle w:val="100000000000" w:firstRow="1" w:lastRow="0" w:firstColumn="0" w:lastColumn="0" w:oddVBand="0" w:evenVBand="0" w:oddHBand="0" w:evenHBand="0" w:firstRowFirstColumn="0" w:firstRowLastColumn="0" w:lastRowFirstColumn="0" w:lastRowLastColumn="0"/>
            </w:pPr>
            <w:r w:rsidRPr="00151142">
              <w:t>Count</w:t>
            </w:r>
          </w:p>
        </w:tc>
        <w:tc>
          <w:tcPr>
            <w:tcW w:w="2910" w:type="dxa"/>
          </w:tcPr>
          <w:p w14:paraId="6F82B447" w14:textId="77777777" w:rsidR="00B239F7" w:rsidRPr="00151142" w:rsidRDefault="00B239F7" w:rsidP="00B239F7">
            <w:pPr>
              <w:cnfStyle w:val="100000000000" w:firstRow="1" w:lastRow="0" w:firstColumn="0" w:lastColumn="0" w:oddVBand="0" w:evenVBand="0" w:oddHBand="0" w:evenHBand="0" w:firstRowFirstColumn="0" w:firstRowLastColumn="0" w:lastRowFirstColumn="0" w:lastRowLastColumn="0"/>
            </w:pPr>
            <w:r w:rsidRPr="00151142">
              <w:t>Performance Measure</w:t>
            </w:r>
          </w:p>
        </w:tc>
        <w:tc>
          <w:tcPr>
            <w:tcW w:w="2310" w:type="dxa"/>
          </w:tcPr>
          <w:p w14:paraId="044B0AEC" w14:textId="77777777" w:rsidR="00B239F7" w:rsidRPr="00151142" w:rsidRDefault="00B239F7" w:rsidP="00B239F7">
            <w:pPr>
              <w:cnfStyle w:val="100000000000" w:firstRow="1" w:lastRow="0" w:firstColumn="0" w:lastColumn="0" w:oddVBand="0" w:evenVBand="0" w:oddHBand="0" w:evenHBand="0" w:firstRowFirstColumn="0" w:firstRowLastColumn="0" w:lastRowFirstColumn="0" w:lastRowLastColumn="0"/>
            </w:pPr>
            <w:r w:rsidRPr="00151142">
              <w:t>% at or Exceeding ULB</w:t>
            </w:r>
          </w:p>
        </w:tc>
        <w:tc>
          <w:tcPr>
            <w:tcW w:w="1430" w:type="dxa"/>
          </w:tcPr>
          <w:p w14:paraId="4DEEAE6A" w14:textId="14BFE50D" w:rsidR="00B239F7" w:rsidRPr="00151142" w:rsidRDefault="00B239F7" w:rsidP="00B239F7">
            <w:pPr>
              <w:cnfStyle w:val="100000000000" w:firstRow="1" w:lastRow="0" w:firstColumn="0" w:lastColumn="0" w:oddVBand="0" w:evenVBand="0" w:oddHBand="0" w:evenHBand="0" w:firstRowFirstColumn="0" w:firstRowLastColumn="0" w:lastRowFirstColumn="0" w:lastRowLastColumn="0"/>
            </w:pPr>
            <w:r w:rsidRPr="00151142">
              <w:t xml:space="preserve">FY </w:t>
            </w:r>
            <w:r w:rsidR="003E0188">
              <w:t xml:space="preserve">18 and FY </w:t>
            </w:r>
            <w:r w:rsidR="002D3C54" w:rsidRPr="00151142">
              <w:t>1</w:t>
            </w:r>
            <w:r w:rsidR="002D3C54">
              <w:t>9</w:t>
            </w:r>
            <w:r w:rsidR="002D3C54" w:rsidRPr="00151142">
              <w:t xml:space="preserve"> </w:t>
            </w:r>
            <w:r w:rsidRPr="00151142">
              <w:t>Target</w:t>
            </w:r>
          </w:p>
        </w:tc>
      </w:tr>
      <w:tr w:rsidR="00B239F7" w:rsidRPr="00B239F7" w14:paraId="64E74FC1"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23DA744" w14:textId="77777777" w:rsidR="00B239F7" w:rsidRPr="00151142" w:rsidRDefault="00B239F7" w:rsidP="00B239F7">
            <w:r w:rsidRPr="00151142">
              <w:t>Revenue Vehicles</w:t>
            </w:r>
          </w:p>
        </w:tc>
        <w:tc>
          <w:tcPr>
            <w:tcW w:w="720" w:type="dxa"/>
          </w:tcPr>
          <w:p w14:paraId="4246DEAE" w14:textId="77777777" w:rsidR="00B239F7" w:rsidRPr="00151142" w:rsidRDefault="00B239F7" w:rsidP="00B239F7">
            <w:pPr>
              <w:cnfStyle w:val="000000100000" w:firstRow="0" w:lastRow="0" w:firstColumn="0" w:lastColumn="0" w:oddVBand="0" w:evenVBand="0" w:oddHBand="1" w:evenHBand="0" w:firstRowFirstColumn="0" w:firstRowLastColumn="0" w:lastRowFirstColumn="0" w:lastRowLastColumn="0"/>
            </w:pPr>
            <w:r w:rsidRPr="00151142">
              <w:t>17</w:t>
            </w:r>
          </w:p>
        </w:tc>
        <w:tc>
          <w:tcPr>
            <w:tcW w:w="2910" w:type="dxa"/>
          </w:tcPr>
          <w:p w14:paraId="33D9802B" w14:textId="77777777" w:rsidR="00B239F7" w:rsidRPr="00151142" w:rsidRDefault="00B239F7" w:rsidP="00B239F7">
            <w:pPr>
              <w:cnfStyle w:val="000000100000" w:firstRow="0" w:lastRow="0" w:firstColumn="0" w:lastColumn="0" w:oddVBand="0" w:evenVBand="0" w:oddHBand="1" w:evenHBand="0" w:firstRowFirstColumn="0" w:firstRowLastColumn="0" w:lastRowFirstColumn="0" w:lastRowLastColumn="0"/>
            </w:pPr>
            <w:r w:rsidRPr="00151142">
              <w:t>Percentage of vehicles at or exceeded their Useful Life</w:t>
            </w:r>
          </w:p>
        </w:tc>
        <w:tc>
          <w:tcPr>
            <w:tcW w:w="2310" w:type="dxa"/>
          </w:tcPr>
          <w:p w14:paraId="3A16CBFC" w14:textId="71B4A3EF" w:rsidR="00B239F7" w:rsidRPr="00151142" w:rsidRDefault="002D3C54" w:rsidP="00B239F7">
            <w:pPr>
              <w:cnfStyle w:val="000000100000" w:firstRow="0" w:lastRow="0" w:firstColumn="0" w:lastColumn="0" w:oddVBand="0" w:evenVBand="0" w:oddHBand="1" w:evenHBand="0" w:firstRowFirstColumn="0" w:firstRowLastColumn="0" w:lastRowFirstColumn="0" w:lastRowLastColumn="0"/>
            </w:pPr>
            <w:r>
              <w:t>18</w:t>
            </w:r>
            <w:r w:rsidR="00B239F7" w:rsidRPr="00151142">
              <w:t>%</w:t>
            </w:r>
            <w:r w:rsidR="00B239F7">
              <w:t xml:space="preserve"> </w:t>
            </w:r>
            <w:r w:rsidR="00B239F7">
              <w:br/>
            </w:r>
            <w:r w:rsidR="00B239F7" w:rsidRPr="00151142">
              <w:t>(</w:t>
            </w:r>
            <w:r>
              <w:t>3</w:t>
            </w:r>
            <w:r w:rsidRPr="00151142">
              <w:t xml:space="preserve"> </w:t>
            </w:r>
            <w:r w:rsidR="00B239F7" w:rsidRPr="00151142">
              <w:t>vehicles)</w:t>
            </w:r>
          </w:p>
        </w:tc>
        <w:tc>
          <w:tcPr>
            <w:tcW w:w="1430" w:type="dxa"/>
          </w:tcPr>
          <w:p w14:paraId="179C5EA3" w14:textId="77777777" w:rsidR="00B239F7" w:rsidRPr="00151142" w:rsidRDefault="00B239F7" w:rsidP="00B239F7">
            <w:pPr>
              <w:cnfStyle w:val="000000100000" w:firstRow="0" w:lastRow="0" w:firstColumn="0" w:lastColumn="0" w:oddVBand="0" w:evenVBand="0" w:oddHBand="1" w:evenHBand="0" w:firstRowFirstColumn="0" w:firstRowLastColumn="0" w:lastRowFirstColumn="0" w:lastRowLastColumn="0"/>
            </w:pPr>
            <w:r w:rsidRPr="00151142">
              <w:t>25%</w:t>
            </w:r>
            <w:r>
              <w:br/>
            </w:r>
            <w:r w:rsidRPr="00151142">
              <w:t>(4 vehicles)</w:t>
            </w:r>
          </w:p>
        </w:tc>
      </w:tr>
    </w:tbl>
    <w:p w14:paraId="015CBDAF" w14:textId="77777777" w:rsidR="00E319BA" w:rsidRDefault="00E319BA" w:rsidP="00B239F7">
      <w:pPr>
        <w:spacing w:after="0"/>
      </w:pPr>
    </w:p>
    <w:p w14:paraId="17E8AF13" w14:textId="77777777" w:rsidR="00B412C7" w:rsidRDefault="00B412C7" w:rsidP="0065765D">
      <w:pPr>
        <w:spacing w:before="0"/>
        <w:jc w:val="center"/>
        <w:rPr>
          <w:rStyle w:val="SubtleReference"/>
        </w:rPr>
      </w:pPr>
    </w:p>
    <w:p w14:paraId="20F2C79E" w14:textId="16BAD0CB" w:rsidR="00D875A0" w:rsidRPr="00B239F7" w:rsidRDefault="00D875A0" w:rsidP="0065765D">
      <w:pPr>
        <w:spacing w:before="0"/>
        <w:jc w:val="center"/>
        <w:rPr>
          <w:rStyle w:val="SubtleReference"/>
        </w:rPr>
      </w:pPr>
      <w:r w:rsidRPr="00B239F7">
        <w:rPr>
          <w:rStyle w:val="SubtleReference"/>
        </w:rPr>
        <w:t xml:space="preserve">Table </w:t>
      </w:r>
      <w:r w:rsidR="00B239F7" w:rsidRPr="00B239F7">
        <w:rPr>
          <w:rStyle w:val="SubtleReference"/>
        </w:rPr>
        <w:t>8</w:t>
      </w:r>
      <w:r w:rsidRPr="00B239F7">
        <w:rPr>
          <w:rStyle w:val="SubtleReference"/>
        </w:rPr>
        <w:t>: SGR Performance Targets for Non-Revenue Vehicles</w:t>
      </w:r>
    </w:p>
    <w:tbl>
      <w:tblPr>
        <w:tblStyle w:val="Style2"/>
        <w:tblW w:w="0" w:type="auto"/>
        <w:tblLook w:val="04A0" w:firstRow="1" w:lastRow="0" w:firstColumn="1" w:lastColumn="0" w:noHBand="0" w:noVBand="1"/>
      </w:tblPr>
      <w:tblGrid>
        <w:gridCol w:w="1980"/>
        <w:gridCol w:w="720"/>
        <w:gridCol w:w="2910"/>
        <w:gridCol w:w="2310"/>
        <w:gridCol w:w="1430"/>
      </w:tblGrid>
      <w:tr w:rsidR="00B239F7" w:rsidRPr="00B239F7" w14:paraId="7BDB992A" w14:textId="77777777" w:rsidTr="00B239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1CE0CD98" w14:textId="77777777" w:rsidR="00B239F7" w:rsidRPr="00151142" w:rsidRDefault="00B239F7" w:rsidP="00B412C7">
            <w:r w:rsidRPr="00151142">
              <w:t>Asset Class</w:t>
            </w:r>
          </w:p>
        </w:tc>
        <w:tc>
          <w:tcPr>
            <w:tcW w:w="720" w:type="dxa"/>
          </w:tcPr>
          <w:p w14:paraId="773C07D9" w14:textId="77777777" w:rsidR="00B239F7" w:rsidRPr="00151142" w:rsidRDefault="00B239F7" w:rsidP="00B412C7">
            <w:pPr>
              <w:cnfStyle w:val="100000000000" w:firstRow="1" w:lastRow="0" w:firstColumn="0" w:lastColumn="0" w:oddVBand="0" w:evenVBand="0" w:oddHBand="0" w:evenHBand="0" w:firstRowFirstColumn="0" w:firstRowLastColumn="0" w:lastRowFirstColumn="0" w:lastRowLastColumn="0"/>
            </w:pPr>
            <w:r w:rsidRPr="00151142">
              <w:t>Count</w:t>
            </w:r>
          </w:p>
        </w:tc>
        <w:tc>
          <w:tcPr>
            <w:tcW w:w="2910" w:type="dxa"/>
          </w:tcPr>
          <w:p w14:paraId="5506028C" w14:textId="77777777" w:rsidR="00B239F7" w:rsidRPr="00151142" w:rsidRDefault="00B239F7" w:rsidP="00B412C7">
            <w:pPr>
              <w:cnfStyle w:val="100000000000" w:firstRow="1" w:lastRow="0" w:firstColumn="0" w:lastColumn="0" w:oddVBand="0" w:evenVBand="0" w:oddHBand="0" w:evenHBand="0" w:firstRowFirstColumn="0" w:firstRowLastColumn="0" w:lastRowFirstColumn="0" w:lastRowLastColumn="0"/>
            </w:pPr>
            <w:r w:rsidRPr="00151142">
              <w:t>Performance Measure</w:t>
            </w:r>
          </w:p>
        </w:tc>
        <w:tc>
          <w:tcPr>
            <w:tcW w:w="2310" w:type="dxa"/>
          </w:tcPr>
          <w:p w14:paraId="629C924B" w14:textId="77777777" w:rsidR="00B239F7" w:rsidRPr="00151142" w:rsidRDefault="00B239F7" w:rsidP="00B412C7">
            <w:pPr>
              <w:cnfStyle w:val="100000000000" w:firstRow="1" w:lastRow="0" w:firstColumn="0" w:lastColumn="0" w:oddVBand="0" w:evenVBand="0" w:oddHBand="0" w:evenHBand="0" w:firstRowFirstColumn="0" w:firstRowLastColumn="0" w:lastRowFirstColumn="0" w:lastRowLastColumn="0"/>
            </w:pPr>
            <w:r w:rsidRPr="00151142">
              <w:t>% at or Exceeding ULB</w:t>
            </w:r>
          </w:p>
        </w:tc>
        <w:tc>
          <w:tcPr>
            <w:tcW w:w="1430" w:type="dxa"/>
          </w:tcPr>
          <w:p w14:paraId="2BA5347E" w14:textId="3A01F0A6" w:rsidR="00B239F7" w:rsidRPr="00151142" w:rsidRDefault="00B239F7" w:rsidP="00B412C7">
            <w:pPr>
              <w:cnfStyle w:val="100000000000" w:firstRow="1" w:lastRow="0" w:firstColumn="0" w:lastColumn="0" w:oddVBand="0" w:evenVBand="0" w:oddHBand="0" w:evenHBand="0" w:firstRowFirstColumn="0" w:firstRowLastColumn="0" w:lastRowFirstColumn="0" w:lastRowLastColumn="0"/>
            </w:pPr>
            <w:r w:rsidRPr="00151142">
              <w:t xml:space="preserve">FY </w:t>
            </w:r>
            <w:r w:rsidR="003E0188">
              <w:t xml:space="preserve">18 and FY </w:t>
            </w:r>
            <w:r w:rsidR="002D3C54" w:rsidRPr="00151142">
              <w:t>1</w:t>
            </w:r>
            <w:r w:rsidR="002D3C54">
              <w:t>9</w:t>
            </w:r>
            <w:r w:rsidR="002D3C54" w:rsidRPr="00151142">
              <w:t xml:space="preserve"> </w:t>
            </w:r>
            <w:r w:rsidRPr="00151142">
              <w:t>Target</w:t>
            </w:r>
          </w:p>
        </w:tc>
      </w:tr>
      <w:tr w:rsidR="00B239F7" w:rsidRPr="00B239F7" w14:paraId="658DA14B" w14:textId="77777777" w:rsidTr="00B2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28FE6D5" w14:textId="77777777" w:rsidR="00B239F7" w:rsidRPr="00151142" w:rsidRDefault="00B239F7" w:rsidP="00B412C7">
            <w:r w:rsidRPr="00B239F7">
              <w:t>Non-Revenue Vehicles</w:t>
            </w:r>
          </w:p>
        </w:tc>
        <w:tc>
          <w:tcPr>
            <w:tcW w:w="720" w:type="dxa"/>
          </w:tcPr>
          <w:p w14:paraId="5597358C" w14:textId="77777777" w:rsidR="00B239F7" w:rsidRPr="00151142" w:rsidRDefault="00B239F7" w:rsidP="00B412C7">
            <w:pPr>
              <w:cnfStyle w:val="000000100000" w:firstRow="0" w:lastRow="0" w:firstColumn="0" w:lastColumn="0" w:oddVBand="0" w:evenVBand="0" w:oddHBand="1" w:evenHBand="0" w:firstRowFirstColumn="0" w:firstRowLastColumn="0" w:lastRowFirstColumn="0" w:lastRowLastColumn="0"/>
            </w:pPr>
            <w:r w:rsidRPr="00B239F7">
              <w:t>5</w:t>
            </w:r>
          </w:p>
        </w:tc>
        <w:tc>
          <w:tcPr>
            <w:tcW w:w="2910" w:type="dxa"/>
          </w:tcPr>
          <w:p w14:paraId="24EE103B" w14:textId="77777777" w:rsidR="00B239F7" w:rsidRPr="00151142" w:rsidRDefault="00B239F7" w:rsidP="00B412C7">
            <w:pPr>
              <w:cnfStyle w:val="000000100000" w:firstRow="0" w:lastRow="0" w:firstColumn="0" w:lastColumn="0" w:oddVBand="0" w:evenVBand="0" w:oddHBand="1" w:evenHBand="0" w:firstRowFirstColumn="0" w:firstRowLastColumn="0" w:lastRowFirstColumn="0" w:lastRowLastColumn="0"/>
            </w:pPr>
            <w:r w:rsidRPr="00B239F7">
              <w:t>Percentage of vehicles at or exceeded their Useful Life</w:t>
            </w:r>
          </w:p>
        </w:tc>
        <w:tc>
          <w:tcPr>
            <w:tcW w:w="2310" w:type="dxa"/>
          </w:tcPr>
          <w:p w14:paraId="5BF16F23" w14:textId="77777777" w:rsidR="00B239F7" w:rsidRPr="00151142" w:rsidRDefault="00B239F7" w:rsidP="00B412C7">
            <w:pPr>
              <w:cnfStyle w:val="000000100000" w:firstRow="0" w:lastRow="0" w:firstColumn="0" w:lastColumn="0" w:oddVBand="0" w:evenVBand="0" w:oddHBand="1" w:evenHBand="0" w:firstRowFirstColumn="0" w:firstRowLastColumn="0" w:lastRowFirstColumn="0" w:lastRowLastColumn="0"/>
            </w:pPr>
            <w:r w:rsidRPr="00B239F7">
              <w:t>60%</w:t>
            </w:r>
            <w:r>
              <w:t xml:space="preserve"> </w:t>
            </w:r>
            <w:r>
              <w:br/>
            </w:r>
            <w:r w:rsidRPr="00151142">
              <w:t>(</w:t>
            </w:r>
            <w:r>
              <w:t>3</w:t>
            </w:r>
            <w:r w:rsidRPr="00151142">
              <w:t xml:space="preserve"> vehicles)</w:t>
            </w:r>
          </w:p>
        </w:tc>
        <w:tc>
          <w:tcPr>
            <w:tcW w:w="1430" w:type="dxa"/>
          </w:tcPr>
          <w:p w14:paraId="58418B66" w14:textId="77777777" w:rsidR="00B239F7" w:rsidRPr="00151142" w:rsidRDefault="00B239F7" w:rsidP="00B412C7">
            <w:pPr>
              <w:cnfStyle w:val="000000100000" w:firstRow="0" w:lastRow="0" w:firstColumn="0" w:lastColumn="0" w:oddVBand="0" w:evenVBand="0" w:oddHBand="1" w:evenHBand="0" w:firstRowFirstColumn="0" w:firstRowLastColumn="0" w:lastRowFirstColumn="0" w:lastRowLastColumn="0"/>
            </w:pPr>
            <w:r>
              <w:t>50</w:t>
            </w:r>
            <w:r w:rsidRPr="00151142">
              <w:t>%</w:t>
            </w:r>
            <w:r>
              <w:br/>
            </w:r>
            <w:r w:rsidRPr="00151142">
              <w:t>(</w:t>
            </w:r>
            <w:r>
              <w:t>2</w:t>
            </w:r>
            <w:r w:rsidRPr="00151142">
              <w:t xml:space="preserve"> vehicles)</w:t>
            </w:r>
          </w:p>
        </w:tc>
      </w:tr>
    </w:tbl>
    <w:p w14:paraId="0571A0E7" w14:textId="77777777" w:rsidR="00D875A0" w:rsidRDefault="00D875A0" w:rsidP="00B239F7">
      <w:pPr>
        <w:spacing w:after="0"/>
      </w:pPr>
    </w:p>
    <w:p w14:paraId="73366B8C" w14:textId="77777777" w:rsidR="00D875A0" w:rsidRPr="00B239F7" w:rsidRDefault="00D875A0" w:rsidP="0065765D">
      <w:pPr>
        <w:spacing w:before="0"/>
        <w:jc w:val="center"/>
        <w:rPr>
          <w:rStyle w:val="SubtleReference"/>
        </w:rPr>
      </w:pPr>
      <w:r w:rsidRPr="00B239F7">
        <w:rPr>
          <w:rStyle w:val="SubtleReference"/>
        </w:rPr>
        <w:t xml:space="preserve">Table </w:t>
      </w:r>
      <w:r w:rsidR="00B239F7" w:rsidRPr="00B239F7">
        <w:rPr>
          <w:rStyle w:val="SubtleReference"/>
        </w:rPr>
        <w:t>9</w:t>
      </w:r>
      <w:r w:rsidRPr="00B239F7">
        <w:rPr>
          <w:rStyle w:val="SubtleReference"/>
        </w:rPr>
        <w:t>: SGR Performance Targets for Facilities</w:t>
      </w:r>
    </w:p>
    <w:tbl>
      <w:tblPr>
        <w:tblStyle w:val="Style2"/>
        <w:tblW w:w="0" w:type="auto"/>
        <w:tblInd w:w="5" w:type="dxa"/>
        <w:tblLook w:val="04A0" w:firstRow="1" w:lastRow="0" w:firstColumn="1" w:lastColumn="0" w:noHBand="0" w:noVBand="1"/>
      </w:tblPr>
      <w:tblGrid>
        <w:gridCol w:w="1975"/>
        <w:gridCol w:w="2880"/>
        <w:gridCol w:w="3060"/>
        <w:gridCol w:w="1435"/>
      </w:tblGrid>
      <w:tr w:rsidR="00B239F7" w:rsidRPr="00B239F7" w14:paraId="2A8C788D" w14:textId="77777777" w:rsidTr="006576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Pr>
          <w:p w14:paraId="09C8CB74" w14:textId="77777777" w:rsidR="00B239F7" w:rsidRPr="00B239F7" w:rsidRDefault="00B239F7" w:rsidP="00B412C7">
            <w:r w:rsidRPr="00B239F7">
              <w:t xml:space="preserve">Asset Category </w:t>
            </w:r>
          </w:p>
        </w:tc>
        <w:tc>
          <w:tcPr>
            <w:tcW w:w="2880" w:type="dxa"/>
          </w:tcPr>
          <w:p w14:paraId="7731E2B3" w14:textId="77777777" w:rsidR="00B239F7" w:rsidRPr="00B239F7" w:rsidRDefault="00B239F7" w:rsidP="00B412C7">
            <w:pPr>
              <w:cnfStyle w:val="100000000000" w:firstRow="1" w:lastRow="0" w:firstColumn="0" w:lastColumn="0" w:oddVBand="0" w:evenVBand="0" w:oddHBand="0" w:evenHBand="0" w:firstRowFirstColumn="0" w:firstRowLastColumn="0" w:lastRowFirstColumn="0" w:lastRowLastColumn="0"/>
            </w:pPr>
            <w:r w:rsidRPr="00B239F7">
              <w:t xml:space="preserve"> Performance Measure</w:t>
            </w:r>
          </w:p>
        </w:tc>
        <w:tc>
          <w:tcPr>
            <w:tcW w:w="3060" w:type="dxa"/>
          </w:tcPr>
          <w:p w14:paraId="4FD2EAC2" w14:textId="77777777" w:rsidR="00B239F7" w:rsidRPr="00B239F7" w:rsidRDefault="00B239F7" w:rsidP="00B412C7">
            <w:pPr>
              <w:cnfStyle w:val="100000000000" w:firstRow="1" w:lastRow="0" w:firstColumn="0" w:lastColumn="0" w:oddVBand="0" w:evenVBand="0" w:oddHBand="0" w:evenHBand="0" w:firstRowFirstColumn="0" w:firstRowLastColumn="0" w:lastRowFirstColumn="0" w:lastRowLastColumn="0"/>
            </w:pPr>
            <w:r w:rsidRPr="00B239F7">
              <w:t>% of below TEM Condition 3.0</w:t>
            </w:r>
          </w:p>
        </w:tc>
        <w:tc>
          <w:tcPr>
            <w:tcW w:w="1435" w:type="dxa"/>
          </w:tcPr>
          <w:p w14:paraId="6984E685" w14:textId="7779EEA3" w:rsidR="00B239F7" w:rsidRPr="00B239F7" w:rsidRDefault="00B239F7" w:rsidP="00B412C7">
            <w:pPr>
              <w:cnfStyle w:val="100000000000" w:firstRow="1" w:lastRow="0" w:firstColumn="0" w:lastColumn="0" w:oddVBand="0" w:evenVBand="0" w:oddHBand="0" w:evenHBand="0" w:firstRowFirstColumn="0" w:firstRowLastColumn="0" w:lastRowFirstColumn="0" w:lastRowLastColumn="0"/>
            </w:pPr>
            <w:r w:rsidRPr="00B239F7">
              <w:t xml:space="preserve">FY </w:t>
            </w:r>
            <w:r w:rsidR="003E0188">
              <w:t xml:space="preserve">18 and </w:t>
            </w:r>
            <w:r w:rsidR="002D3C54" w:rsidRPr="00B239F7">
              <w:t>1</w:t>
            </w:r>
            <w:r w:rsidR="002D3C54">
              <w:t>9</w:t>
            </w:r>
            <w:r w:rsidR="002D3C54" w:rsidRPr="00B239F7">
              <w:t xml:space="preserve"> </w:t>
            </w:r>
            <w:r w:rsidRPr="00B239F7">
              <w:t>Target</w:t>
            </w:r>
          </w:p>
        </w:tc>
      </w:tr>
      <w:tr w:rsidR="00B239F7" w14:paraId="57170E17" w14:textId="77777777" w:rsidTr="00657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9F972D7" w14:textId="77777777" w:rsidR="00B239F7" w:rsidRPr="00B239F7" w:rsidRDefault="00B239F7" w:rsidP="00B412C7">
            <w:r w:rsidRPr="00B239F7">
              <w:t xml:space="preserve">Facilities </w:t>
            </w:r>
          </w:p>
        </w:tc>
        <w:tc>
          <w:tcPr>
            <w:tcW w:w="2880" w:type="dxa"/>
          </w:tcPr>
          <w:p w14:paraId="21B79619" w14:textId="77777777" w:rsidR="00B239F7" w:rsidRPr="00B239F7" w:rsidRDefault="00B239F7" w:rsidP="00B412C7">
            <w:pPr>
              <w:cnfStyle w:val="000000100000" w:firstRow="0" w:lastRow="0" w:firstColumn="0" w:lastColumn="0" w:oddVBand="0" w:evenVBand="0" w:oddHBand="1" w:evenHBand="0" w:firstRowFirstColumn="0" w:firstRowLastColumn="0" w:lastRowFirstColumn="0" w:lastRowLastColumn="0"/>
            </w:pPr>
            <w:r w:rsidRPr="00B239F7">
              <w:t>% of Facilities that below a TERM Condition of 3.0</w:t>
            </w:r>
          </w:p>
        </w:tc>
        <w:tc>
          <w:tcPr>
            <w:tcW w:w="3060" w:type="dxa"/>
          </w:tcPr>
          <w:p w14:paraId="1B05F774" w14:textId="77777777" w:rsidR="00B239F7" w:rsidRPr="00B239F7" w:rsidRDefault="00B239F7" w:rsidP="00B412C7">
            <w:pPr>
              <w:cnfStyle w:val="000000100000" w:firstRow="0" w:lastRow="0" w:firstColumn="0" w:lastColumn="0" w:oddVBand="0" w:evenVBand="0" w:oddHBand="1" w:evenHBand="0" w:firstRowFirstColumn="0" w:firstRowLastColumn="0" w:lastRowFirstColumn="0" w:lastRowLastColumn="0"/>
            </w:pPr>
            <w:r w:rsidRPr="00B239F7">
              <w:t>0%</w:t>
            </w:r>
          </w:p>
        </w:tc>
        <w:tc>
          <w:tcPr>
            <w:tcW w:w="1435" w:type="dxa"/>
          </w:tcPr>
          <w:p w14:paraId="4EF2E3B9" w14:textId="77777777" w:rsidR="00B239F7" w:rsidRDefault="00B239F7" w:rsidP="00B412C7">
            <w:pPr>
              <w:cnfStyle w:val="000000100000" w:firstRow="0" w:lastRow="0" w:firstColumn="0" w:lastColumn="0" w:oddVBand="0" w:evenVBand="0" w:oddHBand="1" w:evenHBand="0" w:firstRowFirstColumn="0" w:firstRowLastColumn="0" w:lastRowFirstColumn="0" w:lastRowLastColumn="0"/>
            </w:pPr>
            <w:r w:rsidRPr="00B239F7">
              <w:t>25%</w:t>
            </w:r>
          </w:p>
        </w:tc>
      </w:tr>
    </w:tbl>
    <w:p w14:paraId="3724A264" w14:textId="77777777" w:rsidR="0065765D" w:rsidRDefault="0065765D" w:rsidP="0065765D">
      <w:pPr>
        <w:spacing w:before="0"/>
        <w:jc w:val="center"/>
        <w:rPr>
          <w:rStyle w:val="SubtleReference"/>
        </w:rPr>
      </w:pPr>
    </w:p>
    <w:p w14:paraId="1376B8C9" w14:textId="77777777" w:rsidR="00D875A0" w:rsidRPr="0065765D" w:rsidRDefault="00D875A0" w:rsidP="0065765D">
      <w:pPr>
        <w:spacing w:before="0"/>
        <w:jc w:val="center"/>
        <w:rPr>
          <w:rStyle w:val="SubtleReference"/>
        </w:rPr>
      </w:pPr>
      <w:r w:rsidRPr="0065765D">
        <w:rPr>
          <w:rStyle w:val="SubtleReference"/>
        </w:rPr>
        <w:t xml:space="preserve">Table </w:t>
      </w:r>
      <w:r w:rsidR="00B239F7" w:rsidRPr="0065765D">
        <w:rPr>
          <w:rStyle w:val="SubtleReference"/>
        </w:rPr>
        <w:t>10</w:t>
      </w:r>
      <w:r w:rsidRPr="0065765D">
        <w:rPr>
          <w:rStyle w:val="SubtleReference"/>
        </w:rPr>
        <w:t>: SGR Performance Targets for Equipment</w:t>
      </w:r>
    </w:p>
    <w:tbl>
      <w:tblPr>
        <w:tblStyle w:val="Style2"/>
        <w:tblW w:w="0" w:type="auto"/>
        <w:tblInd w:w="5" w:type="dxa"/>
        <w:tblLook w:val="04A0" w:firstRow="1" w:lastRow="0" w:firstColumn="1" w:lastColumn="0" w:noHBand="0" w:noVBand="1"/>
      </w:tblPr>
      <w:tblGrid>
        <w:gridCol w:w="1795"/>
        <w:gridCol w:w="3060"/>
        <w:gridCol w:w="3060"/>
        <w:gridCol w:w="1435"/>
      </w:tblGrid>
      <w:tr w:rsidR="0065765D" w:rsidRPr="0065765D" w14:paraId="39C6AF0E" w14:textId="77777777" w:rsidTr="006576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p w14:paraId="4C9BC46C" w14:textId="77777777" w:rsidR="0065765D" w:rsidRPr="0065765D" w:rsidRDefault="0065765D" w:rsidP="00B412C7">
            <w:r w:rsidRPr="0065765D">
              <w:t xml:space="preserve">Asset Category </w:t>
            </w:r>
          </w:p>
        </w:tc>
        <w:tc>
          <w:tcPr>
            <w:tcW w:w="3060" w:type="dxa"/>
          </w:tcPr>
          <w:p w14:paraId="0ECB2F11" w14:textId="77777777" w:rsidR="0065765D" w:rsidRPr="0065765D" w:rsidRDefault="0065765D" w:rsidP="00B412C7">
            <w:pPr>
              <w:cnfStyle w:val="100000000000" w:firstRow="1" w:lastRow="0" w:firstColumn="0" w:lastColumn="0" w:oddVBand="0" w:evenVBand="0" w:oddHBand="0" w:evenHBand="0" w:firstRowFirstColumn="0" w:firstRowLastColumn="0" w:lastRowFirstColumn="0" w:lastRowLastColumn="0"/>
            </w:pPr>
            <w:r w:rsidRPr="0065765D">
              <w:t xml:space="preserve"> Performance Measure</w:t>
            </w:r>
          </w:p>
        </w:tc>
        <w:tc>
          <w:tcPr>
            <w:tcW w:w="3060" w:type="dxa"/>
          </w:tcPr>
          <w:p w14:paraId="23D94BC3" w14:textId="77777777" w:rsidR="0065765D" w:rsidRPr="0065765D" w:rsidRDefault="0065765D" w:rsidP="00B412C7">
            <w:pPr>
              <w:cnfStyle w:val="100000000000" w:firstRow="1" w:lastRow="0" w:firstColumn="0" w:lastColumn="0" w:oddVBand="0" w:evenVBand="0" w:oddHBand="0" w:evenHBand="0" w:firstRowFirstColumn="0" w:firstRowLastColumn="0" w:lastRowFirstColumn="0" w:lastRowLastColumn="0"/>
            </w:pPr>
            <w:r w:rsidRPr="0065765D">
              <w:t>% of below TEM Condition 3.0</w:t>
            </w:r>
          </w:p>
        </w:tc>
        <w:tc>
          <w:tcPr>
            <w:tcW w:w="1435" w:type="dxa"/>
          </w:tcPr>
          <w:p w14:paraId="623C2E3C" w14:textId="1BC4D75B" w:rsidR="0065765D" w:rsidRPr="0065765D" w:rsidRDefault="0065765D" w:rsidP="00B412C7">
            <w:pPr>
              <w:cnfStyle w:val="100000000000" w:firstRow="1" w:lastRow="0" w:firstColumn="0" w:lastColumn="0" w:oddVBand="0" w:evenVBand="0" w:oddHBand="0" w:evenHBand="0" w:firstRowFirstColumn="0" w:firstRowLastColumn="0" w:lastRowFirstColumn="0" w:lastRowLastColumn="0"/>
            </w:pPr>
            <w:r w:rsidRPr="0065765D">
              <w:t>FY</w:t>
            </w:r>
            <w:r w:rsidR="003E0188">
              <w:t xml:space="preserve"> 18 </w:t>
            </w:r>
            <w:proofErr w:type="gramStart"/>
            <w:r w:rsidR="003E0188">
              <w:t xml:space="preserve">and </w:t>
            </w:r>
            <w:r w:rsidRPr="0065765D">
              <w:t xml:space="preserve"> </w:t>
            </w:r>
            <w:r w:rsidR="002D3C54" w:rsidRPr="0065765D">
              <w:t>1</w:t>
            </w:r>
            <w:r w:rsidR="002D3C54">
              <w:t>9</w:t>
            </w:r>
            <w:proofErr w:type="gramEnd"/>
            <w:r w:rsidR="002D3C54" w:rsidRPr="0065765D">
              <w:t xml:space="preserve"> </w:t>
            </w:r>
            <w:r w:rsidRPr="0065765D">
              <w:t>Target</w:t>
            </w:r>
          </w:p>
        </w:tc>
      </w:tr>
      <w:tr w:rsidR="0065765D" w14:paraId="7423592D" w14:textId="77777777" w:rsidTr="00657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6367E36" w14:textId="77777777" w:rsidR="0065765D" w:rsidRPr="0065765D" w:rsidRDefault="0065765D" w:rsidP="00B412C7">
            <w:r w:rsidRPr="0065765D">
              <w:t>Equipment</w:t>
            </w:r>
          </w:p>
        </w:tc>
        <w:tc>
          <w:tcPr>
            <w:tcW w:w="3060" w:type="dxa"/>
          </w:tcPr>
          <w:p w14:paraId="43949417" w14:textId="77777777" w:rsidR="0065765D" w:rsidRPr="0065765D" w:rsidRDefault="0065765D" w:rsidP="00B412C7">
            <w:pPr>
              <w:cnfStyle w:val="000000100000" w:firstRow="0" w:lastRow="0" w:firstColumn="0" w:lastColumn="0" w:oddVBand="0" w:evenVBand="0" w:oddHBand="1" w:evenHBand="0" w:firstRowFirstColumn="0" w:firstRowLastColumn="0" w:lastRowFirstColumn="0" w:lastRowLastColumn="0"/>
            </w:pPr>
            <w:r w:rsidRPr="0065765D">
              <w:t>% of Equipment that below a TERM Condition of 3.0</w:t>
            </w:r>
          </w:p>
        </w:tc>
        <w:tc>
          <w:tcPr>
            <w:tcW w:w="3060" w:type="dxa"/>
          </w:tcPr>
          <w:p w14:paraId="36021238" w14:textId="77777777" w:rsidR="0065765D" w:rsidRPr="0065765D" w:rsidRDefault="0065765D" w:rsidP="00B412C7">
            <w:pPr>
              <w:cnfStyle w:val="000000100000" w:firstRow="0" w:lastRow="0" w:firstColumn="0" w:lastColumn="0" w:oddVBand="0" w:evenVBand="0" w:oddHBand="1" w:evenHBand="0" w:firstRowFirstColumn="0" w:firstRowLastColumn="0" w:lastRowFirstColumn="0" w:lastRowLastColumn="0"/>
            </w:pPr>
            <w:r w:rsidRPr="0065765D">
              <w:t>0%</w:t>
            </w:r>
          </w:p>
        </w:tc>
        <w:tc>
          <w:tcPr>
            <w:tcW w:w="1435" w:type="dxa"/>
          </w:tcPr>
          <w:p w14:paraId="0881BC59" w14:textId="77777777" w:rsidR="0065765D" w:rsidRDefault="0065765D" w:rsidP="00B412C7">
            <w:pPr>
              <w:cnfStyle w:val="000000100000" w:firstRow="0" w:lastRow="0" w:firstColumn="0" w:lastColumn="0" w:oddVBand="0" w:evenVBand="0" w:oddHBand="1" w:evenHBand="0" w:firstRowFirstColumn="0" w:firstRowLastColumn="0" w:lastRowFirstColumn="0" w:lastRowLastColumn="0"/>
            </w:pPr>
            <w:r w:rsidRPr="0065765D">
              <w:t>50%</w:t>
            </w:r>
          </w:p>
        </w:tc>
      </w:tr>
    </w:tbl>
    <w:p w14:paraId="0B21120E" w14:textId="77777777" w:rsidR="00D875A0" w:rsidRDefault="00D875A0" w:rsidP="0065765D">
      <w:pPr>
        <w:spacing w:after="0"/>
      </w:pPr>
    </w:p>
    <w:p w14:paraId="0EBE5C8F" w14:textId="77777777" w:rsidR="00D875A0" w:rsidRDefault="00D875A0" w:rsidP="0065765D">
      <w:pPr>
        <w:pStyle w:val="Heading4"/>
      </w:pPr>
      <w:r>
        <w:t>ASSET REPLACEMENT AND DECISION SUPPORT TOOL</w:t>
      </w:r>
    </w:p>
    <w:p w14:paraId="37F199A4" w14:textId="60DD61D8" w:rsidR="00D875A0" w:rsidRDefault="00D875A0" w:rsidP="00D875A0">
      <w:r>
        <w:t xml:space="preserve">Based on the asset condition rating, the supporting transit facilities and equipment </w:t>
      </w:r>
      <w:r w:rsidR="00E319BA">
        <w:t>meet</w:t>
      </w:r>
      <w:r>
        <w:t xml:space="preserve"> the condition target. Therefore, future investment would focus on the replacement of revenue vehicles and non-revenue vehicles exceeding ULB. BMT investment prioritization decisions are made using several key factors. The first and most obvious is the ULB of the vehicle. Vehicles with more mileage and years past </w:t>
      </w:r>
      <w:r w:rsidR="00E319BA">
        <w:t xml:space="preserve">their </w:t>
      </w:r>
      <w:r>
        <w:t xml:space="preserve">ULB would be considered high priority for replacement. </w:t>
      </w:r>
    </w:p>
    <w:p w14:paraId="4A9FEB30" w14:textId="27FF8F4F" w:rsidR="00D875A0" w:rsidRDefault="00D875A0" w:rsidP="00D875A0">
      <w:r>
        <w:t xml:space="preserve">Aside from assigned vehicle ULB and condition, BMT will also consider the functionality of vehicles. Revenue vehicle providing services on daily basis would be prioritized for investment </w:t>
      </w:r>
      <w:r w:rsidR="00E319BA">
        <w:t>over non-revenue vehicles</w:t>
      </w:r>
      <w:r>
        <w:t xml:space="preserve">. </w:t>
      </w:r>
    </w:p>
    <w:p w14:paraId="740E7CA2" w14:textId="12299C80" w:rsidR="00D875A0" w:rsidRDefault="00D875A0" w:rsidP="00D875A0">
      <w:r>
        <w:t>The last consideration is funding availability. The City of Beaumont relies heavily on formula grant funding to operate BMT. There is minimal funding for major capital investment in terms of vehicles, equipment, and facilities. Therefore, capital replacement has occurred mostly through specialized funding such as Congestion Mitigation Air Quality (CMAQ) funding, the Obama</w:t>
      </w:r>
      <w:r w:rsidR="00E319BA">
        <w:t xml:space="preserve"> administration’s</w:t>
      </w:r>
      <w:r>
        <w:t xml:space="preserve"> America Recovery Reinvestment Act (ARRA), discretionary grants</w:t>
      </w:r>
      <w:r w:rsidR="00E319BA">
        <w:t>,</w:t>
      </w:r>
      <w:r>
        <w:t xml:space="preserve"> and Texas Department of Transportation (TxDOT) funding. BMT has generally maintained vehicles and equipment in service much longer than their assigned useful life because of capital funding availability and a good preventive maintenance program. The automobiles, buses, and vans used by BMT each have different replacement costs. The prioritization of individual vehicles for replacement may also consider replacement costs as a factor </w:t>
      </w:r>
      <w:proofErr w:type="gramStart"/>
      <w:r>
        <w:t>in order to</w:t>
      </w:r>
      <w:proofErr w:type="gramEnd"/>
      <w:r>
        <w:t xml:space="preserve"> pipeline projects to balance annual expenditures with available funding. </w:t>
      </w:r>
    </w:p>
    <w:p w14:paraId="6AD037C7" w14:textId="14279328" w:rsidR="00D875A0" w:rsidRDefault="00D875A0" w:rsidP="0065765D">
      <w:pPr>
        <w:pStyle w:val="Heading5"/>
      </w:pPr>
      <w:r>
        <w:t>Investment Prioritization in FY 2018</w:t>
      </w:r>
      <w:r w:rsidR="003E0188">
        <w:t xml:space="preserve"> </w:t>
      </w:r>
    </w:p>
    <w:p w14:paraId="50F8C0E8" w14:textId="6C50ADDD" w:rsidR="00D875A0" w:rsidRDefault="006E162B" w:rsidP="00D875A0">
      <w:r>
        <w:t>BMT has meet this target; however, to smooth out the expenditures across several years, one van is suggested for replacement in FY 2019.</w:t>
      </w:r>
      <w:r w:rsidR="00D875A0">
        <w:t xml:space="preserve"> The cost to replace the van in FY </w:t>
      </w:r>
      <w:r>
        <w:t xml:space="preserve">2019 </w:t>
      </w:r>
      <w:r w:rsidR="00D875A0">
        <w:t xml:space="preserve">would be $50,000. </w:t>
      </w:r>
    </w:p>
    <w:p w14:paraId="720D689C" w14:textId="2C4AFDA9" w:rsidR="00D875A0" w:rsidRDefault="00D875A0" w:rsidP="00D875A0">
      <w:r>
        <w:lastRenderedPageBreak/>
        <w:t>To meet FY</w:t>
      </w:r>
      <w:r w:rsidR="003E0188">
        <w:t xml:space="preserve"> </w:t>
      </w:r>
      <w:r>
        <w:t xml:space="preserve">2018 </w:t>
      </w:r>
      <w:r w:rsidR="003E0188">
        <w:t xml:space="preserve">and FY 2019 </w:t>
      </w:r>
      <w:r>
        <w:t xml:space="preserve">performance target of 50% for non-revenue vehicles, one non-revenue vehicle would need to be replaced. Currently, all automobiles under non-revenue category are beyond their ULBs. Therefore, </w:t>
      </w:r>
      <w:r w:rsidR="00E319BA">
        <w:t xml:space="preserve">replacing </w:t>
      </w:r>
      <w:r>
        <w:t>one automobile is recommended to meet the 50% target. The replacement cost is $25,000.</w:t>
      </w:r>
    </w:p>
    <w:p w14:paraId="2C6BE731" w14:textId="77777777" w:rsidR="00BE4F08" w:rsidRDefault="00D875A0" w:rsidP="00D875A0">
      <w:r>
        <w:t>Since both equipment and facilities met the 25% target, no investment in equipment and facilities is recommended FY 2018</w:t>
      </w:r>
      <w:r w:rsidR="003E0188">
        <w:t xml:space="preserve"> and FY 2019</w:t>
      </w:r>
      <w:r w:rsidR="00BE4F08">
        <w:t>.</w:t>
      </w:r>
    </w:p>
    <w:p w14:paraId="517DCE59" w14:textId="77777777" w:rsidR="00BE4F08" w:rsidRDefault="00BE4F08" w:rsidP="00D875A0"/>
    <w:p w14:paraId="07730AD5" w14:textId="42910BC8" w:rsidR="00D875A0" w:rsidRDefault="00D875A0" w:rsidP="00D875A0">
      <w:r>
        <w:t xml:space="preserve"> </w:t>
      </w:r>
    </w:p>
    <w:p w14:paraId="63733F0E" w14:textId="4D2FCEB4" w:rsidR="00D875A0" w:rsidRDefault="00D875A0" w:rsidP="0065765D">
      <w:pPr>
        <w:pStyle w:val="Heading4"/>
      </w:pPr>
      <w:r>
        <w:t xml:space="preserve">INVESTMENT PRIORITIZATION </w:t>
      </w:r>
      <w:r w:rsidR="00862B95">
        <w:t xml:space="preserve">OVER THE </w:t>
      </w:r>
      <w:r>
        <w:t xml:space="preserve">NEXT FIVE YEARS </w:t>
      </w:r>
      <w:r w:rsidR="00862B95">
        <w:t>(</w:t>
      </w:r>
      <w:r w:rsidR="006E162B">
        <w:t>20</w:t>
      </w:r>
      <w:r w:rsidR="003E0188">
        <w:t>20</w:t>
      </w:r>
      <w:r w:rsidR="00862B95">
        <w:t>-202</w:t>
      </w:r>
      <w:r w:rsidR="006E162B">
        <w:t>4</w:t>
      </w:r>
      <w:r w:rsidR="00862B95">
        <w:t>)</w:t>
      </w:r>
    </w:p>
    <w:p w14:paraId="5746E655" w14:textId="3E19ABDA" w:rsidR="00D875A0" w:rsidRDefault="00D875A0" w:rsidP="00D875A0">
      <w:r>
        <w:t xml:space="preserve">Given the </w:t>
      </w:r>
      <w:r w:rsidR="003E0188">
        <w:t xml:space="preserve">2018 and </w:t>
      </w:r>
      <w:r w:rsidR="006E162B">
        <w:t xml:space="preserve">2019 </w:t>
      </w:r>
      <w:r>
        <w:t>recommended investments, the revenue vehicles will meet ULB defined by age for 5 years. BMT will have to monitor the mileage over the next several years</w:t>
      </w:r>
      <w:r w:rsidR="00862B95">
        <w:t>,</w:t>
      </w:r>
      <w:r>
        <w:t xml:space="preserve"> with four fixed route buses over 290,000 miles. The following investments are recommended for the next five years to maintain the transit asset in SGR:</w:t>
      </w:r>
    </w:p>
    <w:p w14:paraId="55FF3A72" w14:textId="07907560" w:rsidR="00D875A0" w:rsidRDefault="00D875A0" w:rsidP="0065765D">
      <w:pPr>
        <w:pStyle w:val="ListBullets"/>
      </w:pPr>
      <w:r>
        <w:t xml:space="preserve">Replace the remaining four paratransit vehicles vans under revenue vehicle categories in FY 2019 and FY 2020. The replacement cost for the </w:t>
      </w:r>
      <w:r w:rsidR="006E162B">
        <w:t xml:space="preserve">three </w:t>
      </w:r>
      <w:r>
        <w:t>vans is $</w:t>
      </w:r>
      <w:r w:rsidR="006E162B">
        <w:t>150</w:t>
      </w:r>
      <w:r>
        <w:t xml:space="preserve">,000. </w:t>
      </w:r>
    </w:p>
    <w:p w14:paraId="3B721303" w14:textId="77777777" w:rsidR="00D875A0" w:rsidRDefault="00D875A0" w:rsidP="0065765D">
      <w:pPr>
        <w:pStyle w:val="ListBullets"/>
      </w:pPr>
      <w:r>
        <w:t>Replace the remaining supporting automobile in FY 2019. Its replacement cost is $50,000.</w:t>
      </w:r>
    </w:p>
    <w:p w14:paraId="22502DA3" w14:textId="162372F6" w:rsidR="00D875A0" w:rsidRDefault="00D875A0" w:rsidP="0065765D">
      <w:pPr>
        <w:pStyle w:val="ListBullets"/>
      </w:pPr>
      <w:r>
        <w:t>The 3 service vehicles are all past their useful life and would be next in line for replacement in FY 2020. The budget for this replacement totals $75,000.</w:t>
      </w:r>
    </w:p>
    <w:p w14:paraId="78F38DFE" w14:textId="7205E837" w:rsidR="00D875A0" w:rsidRDefault="00D875A0" w:rsidP="0065765D">
      <w:pPr>
        <w:pStyle w:val="ListBullets"/>
      </w:pPr>
      <w:r>
        <w:t xml:space="preserve">BMT recently replaced two diesel buses with </w:t>
      </w:r>
      <w:r w:rsidR="00B412C7">
        <w:t>compressed natural gas (</w:t>
      </w:r>
      <w:r>
        <w:t>CNG</w:t>
      </w:r>
      <w:r w:rsidR="00B412C7">
        <w:t>)</w:t>
      </w:r>
      <w:r>
        <w:t xml:space="preserve"> buses. The next priority for replacement would be the remaining 10 diesel buses. Considering the funding limitation, the investment plan for FY 2021, FY 2022 and FY 2023 would be to replace 6 buses</w:t>
      </w:r>
      <w:r w:rsidR="00B412C7">
        <w:t xml:space="preserve">, manufactured by </w:t>
      </w:r>
      <w:bookmarkStart w:id="1" w:name="_Hlk529508744"/>
      <w:r w:rsidR="00B412C7">
        <w:t xml:space="preserve">North American Bus Industries </w:t>
      </w:r>
      <w:bookmarkEnd w:id="1"/>
      <w:r w:rsidR="00B412C7">
        <w:t>(NABI)</w:t>
      </w:r>
      <w:r>
        <w:t>. The cost would be $260,000 per year.</w:t>
      </w:r>
    </w:p>
    <w:p w14:paraId="329B49ED" w14:textId="2871607D" w:rsidR="00D875A0" w:rsidRDefault="00D875A0" w:rsidP="0065765D">
      <w:pPr>
        <w:pStyle w:val="ListBullets"/>
      </w:pPr>
      <w:r>
        <w:t xml:space="preserve">Although the spare vehicles are not operated for revenue services on daily basis, it is also important to maintain their backup functionalities by keeping these vehicles in good condition. They may be replaced by the vans which are retired </w:t>
      </w:r>
      <w:r w:rsidR="00862B95">
        <w:t xml:space="preserve">from </w:t>
      </w:r>
      <w:r>
        <w:t xml:space="preserve">revenue </w:t>
      </w:r>
      <w:r w:rsidR="00862B95">
        <w:t xml:space="preserve">service </w:t>
      </w:r>
      <w:r>
        <w:t xml:space="preserve">in earlier years. </w:t>
      </w:r>
    </w:p>
    <w:p w14:paraId="0A6FDE4B" w14:textId="77777777" w:rsidR="00D875A0" w:rsidRDefault="00D875A0" w:rsidP="00D875A0">
      <w:r>
        <w:t xml:space="preserve">Aside from the revenue vehicles listed in </w:t>
      </w:r>
      <w:r w:rsidRPr="0065765D">
        <w:rPr>
          <w:b/>
        </w:rPr>
        <w:t xml:space="preserve">Table </w:t>
      </w:r>
      <w:r w:rsidR="00611E7B">
        <w:rPr>
          <w:b/>
        </w:rPr>
        <w:t>7</w:t>
      </w:r>
      <w:r>
        <w:t xml:space="preserve">, it is expected that other vehicles currently below ULBs would reach the ULBs within the next five years. Therefore, it is important to update the vehicle inventory, condition rating, performance targets as well as investment prioritization annually to make sure the vehicle asset in SGR. Realistically, due to capital funding restraints, BMT generally keeps revenue vehicles, service vehicles, and other assets beyond their assigned useful life. This is accomplished with a rigorous Preventative Maintenance (PM) Program. Assets which have been in service longer than their assigned useful life are continually evaluated for safety </w:t>
      </w:r>
      <w:proofErr w:type="gramStart"/>
      <w:r>
        <w:t>in order to</w:t>
      </w:r>
      <w:proofErr w:type="gramEnd"/>
      <w:r>
        <w:t xml:space="preserve"> assure they are road worthy or meet other required standards. </w:t>
      </w:r>
    </w:p>
    <w:p w14:paraId="00AFAAE2" w14:textId="77777777" w:rsidR="00D875A0" w:rsidRDefault="00D875A0" w:rsidP="00D875A0">
      <w:r>
        <w:t xml:space="preserve">In addition, the BMT facilities and equipment will need annual maintenance and rehab as well as replacement of the lowboy trailer. </w:t>
      </w:r>
    </w:p>
    <w:p w14:paraId="6E3B4616" w14:textId="5865E044" w:rsidR="00D875A0" w:rsidRDefault="00476458" w:rsidP="00D875A0">
      <w:r>
        <w:t>G</w:t>
      </w:r>
      <w:r w:rsidR="00D875A0">
        <w:t>ood practice</w:t>
      </w:r>
      <w:r>
        <w:t xml:space="preserve"> is</w:t>
      </w:r>
      <w:r w:rsidR="00D875A0">
        <w:t xml:space="preserve"> to pipeline the replacement of vehicles </w:t>
      </w:r>
      <w:r w:rsidR="00B412C7">
        <w:t>to</w:t>
      </w:r>
      <w:r w:rsidR="00D875A0">
        <w:t xml:space="preserve"> smooth and balance the budget over time. With the current prioritizations, the replacement budgets for </w:t>
      </w:r>
      <w:r w:rsidR="006E162B">
        <w:t xml:space="preserve">2019 </w:t>
      </w:r>
      <w:r>
        <w:t>to</w:t>
      </w:r>
      <w:r w:rsidR="00D875A0">
        <w:t xml:space="preserve"> </w:t>
      </w:r>
      <w:r w:rsidR="002F5B60">
        <w:t xml:space="preserve">2024 </w:t>
      </w:r>
      <w:r w:rsidR="00D875A0">
        <w:t xml:space="preserve">are uneven: </w:t>
      </w:r>
    </w:p>
    <w:p w14:paraId="6507074B" w14:textId="77777777" w:rsidR="00D875A0" w:rsidRDefault="00D875A0" w:rsidP="0065765D">
      <w:pPr>
        <w:pStyle w:val="ListBullets"/>
      </w:pPr>
      <w:r>
        <w:lastRenderedPageBreak/>
        <w:t>FY 2019</w:t>
      </w:r>
      <w:r w:rsidR="0065765D">
        <w:tab/>
      </w:r>
      <w:r w:rsidR="0065765D">
        <w:tab/>
      </w:r>
      <w:r>
        <w:t>$175,000</w:t>
      </w:r>
    </w:p>
    <w:p w14:paraId="59AFC526" w14:textId="77777777" w:rsidR="00D875A0" w:rsidRDefault="00D875A0" w:rsidP="0065765D">
      <w:pPr>
        <w:pStyle w:val="ListBullets"/>
      </w:pPr>
      <w:r>
        <w:t>FY 2020</w:t>
      </w:r>
      <w:r w:rsidR="0065765D">
        <w:tab/>
      </w:r>
      <w:r w:rsidR="0065765D">
        <w:tab/>
      </w:r>
      <w:r>
        <w:t>$260,000</w:t>
      </w:r>
    </w:p>
    <w:p w14:paraId="760C7958" w14:textId="77777777" w:rsidR="00B412C7" w:rsidRDefault="00D875A0" w:rsidP="00B412C7">
      <w:pPr>
        <w:pStyle w:val="ListBullets"/>
      </w:pPr>
      <w:r>
        <w:t>FY 2021</w:t>
      </w:r>
      <w:r w:rsidR="0065765D">
        <w:tab/>
      </w:r>
      <w:r w:rsidR="0065765D">
        <w:tab/>
      </w:r>
      <w:r>
        <w:t>$260,000</w:t>
      </w:r>
    </w:p>
    <w:p w14:paraId="678A0E45" w14:textId="46A504C7" w:rsidR="00B412C7" w:rsidRDefault="00D875A0" w:rsidP="00B412C7">
      <w:pPr>
        <w:pStyle w:val="ListBullets"/>
      </w:pPr>
      <w:r>
        <w:t>FY 2022</w:t>
      </w:r>
      <w:r w:rsidR="0065765D">
        <w:tab/>
      </w:r>
      <w:r w:rsidR="0065765D">
        <w:tab/>
      </w:r>
      <w:r>
        <w:t>$260,000</w:t>
      </w:r>
    </w:p>
    <w:p w14:paraId="43B50F33" w14:textId="5C5F452C" w:rsidR="006E162B" w:rsidRDefault="006E162B" w:rsidP="00B412C7">
      <w:pPr>
        <w:pStyle w:val="ListBullets"/>
      </w:pPr>
      <w:r>
        <w:t>FY 2023</w:t>
      </w:r>
      <w:r>
        <w:tab/>
      </w:r>
      <w:r>
        <w:tab/>
        <w:t>$260,</w:t>
      </w:r>
      <w:bookmarkStart w:id="2" w:name="_GoBack"/>
      <w:r>
        <w:t>000</w:t>
      </w:r>
      <w:bookmarkEnd w:id="2"/>
    </w:p>
    <w:p w14:paraId="4DED8AD7" w14:textId="5A3350EA" w:rsidR="002F5B60" w:rsidRDefault="002F5B60" w:rsidP="00B412C7">
      <w:pPr>
        <w:pStyle w:val="ListBullets"/>
      </w:pPr>
      <w:r>
        <w:t>FY 2024</w:t>
      </w:r>
      <w:r>
        <w:tab/>
      </w:r>
      <w:r>
        <w:tab/>
        <w:t>TBD</w:t>
      </w:r>
    </w:p>
    <w:p w14:paraId="24677191" w14:textId="77777777" w:rsidR="00476458" w:rsidRDefault="00476458" w:rsidP="00476458">
      <w:pPr>
        <w:pStyle w:val="ListBullets"/>
        <w:numPr>
          <w:ilvl w:val="0"/>
          <w:numId w:val="0"/>
        </w:numPr>
        <w:ind w:left="648"/>
      </w:pPr>
    </w:p>
    <w:p w14:paraId="74E134EC" w14:textId="0DDAD9A9" w:rsidR="001B49F7" w:rsidRDefault="00D875A0" w:rsidP="00B412C7">
      <w:pPr>
        <w:pStyle w:val="ListBullets"/>
        <w:numPr>
          <w:ilvl w:val="0"/>
          <w:numId w:val="0"/>
        </w:numPr>
      </w:pPr>
      <w:r>
        <w:t>While this annual variation in the replacement budget is not desired, the small number of vehicles being replaced makes the inequalities inevitable.</w:t>
      </w:r>
    </w:p>
    <w:p w14:paraId="1FDCE59D" w14:textId="77777777" w:rsidR="00BE4F08" w:rsidRDefault="00BE4F08" w:rsidP="00B412C7">
      <w:pPr>
        <w:pStyle w:val="ListBullets"/>
        <w:numPr>
          <w:ilvl w:val="0"/>
          <w:numId w:val="0"/>
        </w:numPr>
      </w:pPr>
    </w:p>
    <w:p w14:paraId="053A7FB3" w14:textId="77777777" w:rsidR="001B1A8C" w:rsidRPr="00394C84" w:rsidRDefault="001B1A8C" w:rsidP="001B1A8C">
      <w:pPr>
        <w:spacing w:after="240"/>
        <w:rPr>
          <w:b/>
          <w:sz w:val="28"/>
          <w:szCs w:val="28"/>
        </w:rPr>
      </w:pPr>
      <w:r>
        <w:t xml:space="preserve">                             </w:t>
      </w:r>
      <w:bookmarkStart w:id="3" w:name="_Hlk529537930"/>
      <w:bookmarkStart w:id="4" w:name="_Hlk529538341"/>
      <w:r>
        <w:rPr>
          <w:b/>
          <w:sz w:val="28"/>
          <w:szCs w:val="28"/>
        </w:rPr>
        <w:t xml:space="preserve">Appendix A: </w:t>
      </w:r>
      <w:r w:rsidRPr="00394C84">
        <w:rPr>
          <w:b/>
          <w:sz w:val="28"/>
          <w:szCs w:val="28"/>
        </w:rPr>
        <w:t>B</w:t>
      </w:r>
      <w:r>
        <w:rPr>
          <w:b/>
          <w:sz w:val="28"/>
          <w:szCs w:val="28"/>
        </w:rPr>
        <w:t>MT</w:t>
      </w:r>
      <w:r w:rsidRPr="00394C84">
        <w:rPr>
          <w:b/>
          <w:sz w:val="28"/>
          <w:szCs w:val="28"/>
        </w:rPr>
        <w:t xml:space="preserve"> Transit </w:t>
      </w:r>
      <w:r>
        <w:rPr>
          <w:b/>
          <w:sz w:val="28"/>
          <w:szCs w:val="28"/>
        </w:rPr>
        <w:t xml:space="preserve">Asset Inventory </w:t>
      </w:r>
      <w:bookmarkEnd w:id="3"/>
    </w:p>
    <w:tbl>
      <w:tblPr>
        <w:tblStyle w:val="PlainTable2"/>
        <w:tblW w:w="11002" w:type="dxa"/>
        <w:jc w:val="center"/>
        <w:tblLook w:val="04A0" w:firstRow="1" w:lastRow="0" w:firstColumn="1" w:lastColumn="0" w:noHBand="0" w:noVBand="1"/>
      </w:tblPr>
      <w:tblGrid>
        <w:gridCol w:w="1246"/>
        <w:gridCol w:w="1799"/>
        <w:gridCol w:w="1350"/>
        <w:gridCol w:w="3645"/>
        <w:gridCol w:w="968"/>
        <w:gridCol w:w="948"/>
        <w:gridCol w:w="1046"/>
      </w:tblGrid>
      <w:tr w:rsidR="001B1A8C" w:rsidRPr="00980D99" w14:paraId="0F26E2D5" w14:textId="77777777" w:rsidTr="001B1A8C">
        <w:trPr>
          <w:cnfStyle w:val="100000000000" w:firstRow="1" w:lastRow="0" w:firstColumn="0" w:lastColumn="0" w:oddVBand="0" w:evenVBand="0" w:oddHBand="0"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1249" w:type="dxa"/>
            <w:hideMark/>
          </w:tcPr>
          <w:bookmarkEnd w:id="4"/>
          <w:p w14:paraId="3041A0F6" w14:textId="77777777" w:rsidR="001B1A8C" w:rsidRPr="008E48C7" w:rsidRDefault="001B1A8C" w:rsidP="003F12DA">
            <w:pPr>
              <w:spacing w:before="0"/>
              <w:jc w:val="center"/>
            </w:pPr>
            <w:r w:rsidRPr="008E48C7">
              <w:t>Asset Category</w:t>
            </w:r>
          </w:p>
        </w:tc>
        <w:tc>
          <w:tcPr>
            <w:tcW w:w="1816" w:type="dxa"/>
            <w:hideMark/>
          </w:tcPr>
          <w:p w14:paraId="60C8DA47"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Asset Class</w:t>
            </w:r>
          </w:p>
        </w:tc>
        <w:tc>
          <w:tcPr>
            <w:tcW w:w="1255" w:type="dxa"/>
            <w:hideMark/>
          </w:tcPr>
          <w:p w14:paraId="146AB8A0"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Asset Type</w:t>
            </w:r>
          </w:p>
        </w:tc>
        <w:tc>
          <w:tcPr>
            <w:tcW w:w="3699" w:type="dxa"/>
            <w:hideMark/>
          </w:tcPr>
          <w:p w14:paraId="5D399C01"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 xml:space="preserve">Model </w:t>
            </w:r>
          </w:p>
        </w:tc>
        <w:tc>
          <w:tcPr>
            <w:tcW w:w="973" w:type="dxa"/>
            <w:hideMark/>
          </w:tcPr>
          <w:p w14:paraId="0622AFF4"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Count</w:t>
            </w:r>
          </w:p>
        </w:tc>
        <w:tc>
          <w:tcPr>
            <w:tcW w:w="957" w:type="dxa"/>
            <w:hideMark/>
          </w:tcPr>
          <w:p w14:paraId="7BC4D218"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 xml:space="preserve"> Age</w:t>
            </w:r>
          </w:p>
        </w:tc>
        <w:tc>
          <w:tcPr>
            <w:tcW w:w="1053" w:type="dxa"/>
            <w:hideMark/>
          </w:tcPr>
          <w:p w14:paraId="48BCD43C"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ULB* (Age)</w:t>
            </w:r>
          </w:p>
        </w:tc>
      </w:tr>
      <w:tr w:rsidR="001B1A8C" w:rsidRPr="00980D99" w14:paraId="0E2E08E9" w14:textId="77777777" w:rsidTr="001B1A8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49" w:type="dxa"/>
            <w:vMerge w:val="restart"/>
            <w:hideMark/>
          </w:tcPr>
          <w:p w14:paraId="61D8C178" w14:textId="77777777" w:rsidR="001B1A8C" w:rsidRPr="00980D99" w:rsidRDefault="001B1A8C" w:rsidP="003F12DA">
            <w:pPr>
              <w:jc w:val="center"/>
              <w:rPr>
                <w:rFonts w:eastAsia="Times New Roman" w:cs="Times New Roman"/>
                <w:b w:val="0"/>
                <w:bCs w:val="0"/>
                <w:color w:val="000000"/>
              </w:rPr>
            </w:pPr>
            <w:r w:rsidRPr="00980D99">
              <w:rPr>
                <w:rFonts w:eastAsia="Times New Roman" w:cs="Times New Roman"/>
                <w:color w:val="000000"/>
              </w:rPr>
              <w:t>Rolling Stock</w:t>
            </w:r>
          </w:p>
          <w:p w14:paraId="53830C5B" w14:textId="77777777" w:rsidR="001B1A8C" w:rsidRPr="00980D99" w:rsidRDefault="001B1A8C" w:rsidP="003F12DA">
            <w:pPr>
              <w:jc w:val="center"/>
              <w:rPr>
                <w:rFonts w:eastAsia="Times New Roman" w:cs="Times New Roman"/>
                <w:color w:val="000000"/>
              </w:rPr>
            </w:pPr>
          </w:p>
        </w:tc>
        <w:tc>
          <w:tcPr>
            <w:tcW w:w="1816" w:type="dxa"/>
            <w:vMerge w:val="restart"/>
            <w:hideMark/>
          </w:tcPr>
          <w:p w14:paraId="657DF13F"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Revenue Bus</w:t>
            </w:r>
          </w:p>
        </w:tc>
        <w:tc>
          <w:tcPr>
            <w:tcW w:w="1255" w:type="dxa"/>
            <w:vMerge w:val="restart"/>
            <w:hideMark/>
          </w:tcPr>
          <w:p w14:paraId="2B9CF732"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Bus</w:t>
            </w:r>
          </w:p>
        </w:tc>
        <w:tc>
          <w:tcPr>
            <w:tcW w:w="3699" w:type="dxa"/>
            <w:hideMark/>
          </w:tcPr>
          <w:p w14:paraId="3FC415ED"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NABI 35' CNG Low Floor</w:t>
            </w:r>
          </w:p>
        </w:tc>
        <w:tc>
          <w:tcPr>
            <w:tcW w:w="973" w:type="dxa"/>
            <w:hideMark/>
          </w:tcPr>
          <w:p w14:paraId="6089F9FD"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14</w:t>
            </w:r>
          </w:p>
        </w:tc>
        <w:tc>
          <w:tcPr>
            <w:tcW w:w="957" w:type="dxa"/>
            <w:hideMark/>
          </w:tcPr>
          <w:p w14:paraId="28485766" w14:textId="722E6573"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9</w:t>
            </w:r>
          </w:p>
        </w:tc>
        <w:tc>
          <w:tcPr>
            <w:tcW w:w="1053" w:type="dxa"/>
            <w:hideMark/>
          </w:tcPr>
          <w:p w14:paraId="7A4D9A86"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14</w:t>
            </w:r>
          </w:p>
        </w:tc>
      </w:tr>
      <w:tr w:rsidR="001B1A8C" w:rsidRPr="00980D99" w14:paraId="078FC8D7" w14:textId="77777777" w:rsidTr="001B1A8C">
        <w:trPr>
          <w:trHeight w:val="288"/>
          <w:jc w:val="center"/>
        </w:trPr>
        <w:tc>
          <w:tcPr>
            <w:cnfStyle w:val="001000000000" w:firstRow="0" w:lastRow="0" w:firstColumn="1" w:lastColumn="0" w:oddVBand="0" w:evenVBand="0" w:oddHBand="0" w:evenHBand="0" w:firstRowFirstColumn="0" w:firstRowLastColumn="0" w:lastRowFirstColumn="0" w:lastRowLastColumn="0"/>
            <w:tcW w:w="1249" w:type="dxa"/>
            <w:vMerge/>
            <w:hideMark/>
          </w:tcPr>
          <w:p w14:paraId="17187A6F" w14:textId="77777777" w:rsidR="001B1A8C" w:rsidRPr="00980D99" w:rsidRDefault="001B1A8C" w:rsidP="003F12DA">
            <w:pPr>
              <w:jc w:val="center"/>
              <w:rPr>
                <w:rFonts w:eastAsia="Times New Roman" w:cs="Times New Roman"/>
                <w:color w:val="000000"/>
              </w:rPr>
            </w:pPr>
          </w:p>
        </w:tc>
        <w:tc>
          <w:tcPr>
            <w:tcW w:w="1816" w:type="dxa"/>
            <w:vMerge/>
            <w:hideMark/>
          </w:tcPr>
          <w:p w14:paraId="211DB91C"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1255" w:type="dxa"/>
            <w:vMerge/>
            <w:hideMark/>
          </w:tcPr>
          <w:p w14:paraId="0C533746"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3699" w:type="dxa"/>
            <w:hideMark/>
          </w:tcPr>
          <w:p w14:paraId="6F7C3292"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Orion V 35' CNG High Floor</w:t>
            </w:r>
          </w:p>
        </w:tc>
        <w:tc>
          <w:tcPr>
            <w:tcW w:w="973" w:type="dxa"/>
            <w:hideMark/>
          </w:tcPr>
          <w:p w14:paraId="0AAD0972"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p>
        </w:tc>
        <w:tc>
          <w:tcPr>
            <w:tcW w:w="957" w:type="dxa"/>
            <w:hideMark/>
          </w:tcPr>
          <w:p w14:paraId="2B501E60" w14:textId="78F6F31F"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r>
              <w:rPr>
                <w:rFonts w:eastAsia="Times New Roman" w:cs="Times New Roman"/>
                <w:color w:val="000000"/>
              </w:rPr>
              <w:t>4</w:t>
            </w:r>
          </w:p>
        </w:tc>
        <w:tc>
          <w:tcPr>
            <w:tcW w:w="1053" w:type="dxa"/>
            <w:hideMark/>
          </w:tcPr>
          <w:p w14:paraId="3BAA190D"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14</w:t>
            </w:r>
          </w:p>
        </w:tc>
      </w:tr>
      <w:tr w:rsidR="001B1A8C" w:rsidRPr="00980D99" w14:paraId="166A9572" w14:textId="77777777" w:rsidTr="001B1A8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49" w:type="dxa"/>
            <w:vMerge/>
            <w:hideMark/>
          </w:tcPr>
          <w:p w14:paraId="32188DAA" w14:textId="77777777" w:rsidR="001B1A8C" w:rsidRPr="00980D99" w:rsidRDefault="001B1A8C" w:rsidP="003F12DA">
            <w:pPr>
              <w:jc w:val="center"/>
              <w:rPr>
                <w:rFonts w:eastAsia="Times New Roman" w:cs="Times New Roman"/>
                <w:color w:val="000000"/>
              </w:rPr>
            </w:pPr>
          </w:p>
        </w:tc>
        <w:tc>
          <w:tcPr>
            <w:tcW w:w="1816" w:type="dxa"/>
            <w:vMerge/>
            <w:hideMark/>
          </w:tcPr>
          <w:p w14:paraId="72FF7704" w14:textId="77777777" w:rsidR="001B1A8C" w:rsidRPr="00980D99" w:rsidRDefault="001B1A8C" w:rsidP="003F12D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c>
          <w:tcPr>
            <w:tcW w:w="1255" w:type="dxa"/>
            <w:vMerge/>
            <w:hideMark/>
          </w:tcPr>
          <w:p w14:paraId="4D85C080" w14:textId="77777777" w:rsidR="001B1A8C" w:rsidRPr="00980D99" w:rsidRDefault="001B1A8C" w:rsidP="003F12D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c>
          <w:tcPr>
            <w:tcW w:w="3699" w:type="dxa"/>
            <w:hideMark/>
          </w:tcPr>
          <w:p w14:paraId="1F36C5A5"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El Dorado 35' CNG Low Floor</w:t>
            </w:r>
          </w:p>
        </w:tc>
        <w:tc>
          <w:tcPr>
            <w:tcW w:w="973" w:type="dxa"/>
            <w:hideMark/>
          </w:tcPr>
          <w:p w14:paraId="134907F0"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3</w:t>
            </w:r>
          </w:p>
        </w:tc>
        <w:tc>
          <w:tcPr>
            <w:tcW w:w="957" w:type="dxa"/>
            <w:hideMark/>
          </w:tcPr>
          <w:p w14:paraId="73C2301E" w14:textId="34D9E054"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2</w:t>
            </w:r>
          </w:p>
        </w:tc>
        <w:tc>
          <w:tcPr>
            <w:tcW w:w="1053" w:type="dxa"/>
            <w:hideMark/>
          </w:tcPr>
          <w:p w14:paraId="7BBCD5FF"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14</w:t>
            </w:r>
          </w:p>
        </w:tc>
      </w:tr>
      <w:tr w:rsidR="001B1A8C" w:rsidRPr="00980D99" w14:paraId="09639E09" w14:textId="77777777" w:rsidTr="001B1A8C">
        <w:trPr>
          <w:trHeight w:val="502"/>
          <w:jc w:val="center"/>
        </w:trPr>
        <w:tc>
          <w:tcPr>
            <w:cnfStyle w:val="001000000000" w:firstRow="0" w:lastRow="0" w:firstColumn="1" w:lastColumn="0" w:oddVBand="0" w:evenVBand="0" w:oddHBand="0" w:evenHBand="0" w:firstRowFirstColumn="0" w:firstRowLastColumn="0" w:lastRowFirstColumn="0" w:lastRowLastColumn="0"/>
            <w:tcW w:w="1249" w:type="dxa"/>
            <w:vMerge/>
            <w:hideMark/>
          </w:tcPr>
          <w:p w14:paraId="11F3E8FE" w14:textId="77777777" w:rsidR="001B1A8C" w:rsidRPr="00980D99" w:rsidRDefault="001B1A8C" w:rsidP="003F12DA">
            <w:pPr>
              <w:jc w:val="center"/>
              <w:rPr>
                <w:rFonts w:eastAsia="Times New Roman" w:cs="Times New Roman"/>
                <w:color w:val="000000"/>
              </w:rPr>
            </w:pPr>
          </w:p>
        </w:tc>
        <w:tc>
          <w:tcPr>
            <w:tcW w:w="1816" w:type="dxa"/>
            <w:hideMark/>
          </w:tcPr>
          <w:p w14:paraId="553E230D"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Other Revenue Passenger Vehicles</w:t>
            </w:r>
          </w:p>
        </w:tc>
        <w:tc>
          <w:tcPr>
            <w:tcW w:w="1255" w:type="dxa"/>
            <w:hideMark/>
          </w:tcPr>
          <w:p w14:paraId="4BD38E33"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Van</w:t>
            </w:r>
          </w:p>
        </w:tc>
        <w:tc>
          <w:tcPr>
            <w:tcW w:w="3699" w:type="dxa"/>
            <w:hideMark/>
          </w:tcPr>
          <w:p w14:paraId="0E032AA0"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El Dorado/Chevy 27' Diesel Van</w:t>
            </w:r>
          </w:p>
        </w:tc>
        <w:tc>
          <w:tcPr>
            <w:tcW w:w="973" w:type="dxa"/>
            <w:hideMark/>
          </w:tcPr>
          <w:p w14:paraId="2A86E56A" w14:textId="257FB7EE" w:rsidR="001B1A8C" w:rsidRPr="00980D99" w:rsidRDefault="000E7222"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10</w:t>
            </w:r>
          </w:p>
        </w:tc>
        <w:tc>
          <w:tcPr>
            <w:tcW w:w="957" w:type="dxa"/>
            <w:hideMark/>
          </w:tcPr>
          <w:p w14:paraId="141BCA35" w14:textId="2FBFEEE4"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5</w:t>
            </w:r>
          </w:p>
        </w:tc>
        <w:tc>
          <w:tcPr>
            <w:tcW w:w="1053" w:type="dxa"/>
            <w:hideMark/>
          </w:tcPr>
          <w:p w14:paraId="09291DA9"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8</w:t>
            </w:r>
          </w:p>
        </w:tc>
      </w:tr>
      <w:tr w:rsidR="001B1A8C" w:rsidRPr="00980D99" w14:paraId="59290F75" w14:textId="77777777" w:rsidTr="001B1A8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49" w:type="dxa"/>
            <w:vMerge/>
            <w:hideMark/>
          </w:tcPr>
          <w:p w14:paraId="4DB2773E" w14:textId="77777777" w:rsidR="001B1A8C" w:rsidRPr="00980D99" w:rsidRDefault="001B1A8C" w:rsidP="003F12DA">
            <w:pPr>
              <w:jc w:val="center"/>
              <w:rPr>
                <w:rFonts w:eastAsia="Times New Roman" w:cs="Times New Roman"/>
                <w:color w:val="000000"/>
              </w:rPr>
            </w:pPr>
          </w:p>
        </w:tc>
        <w:tc>
          <w:tcPr>
            <w:tcW w:w="1816" w:type="dxa"/>
            <w:vMerge w:val="restart"/>
            <w:hideMark/>
          </w:tcPr>
          <w:p w14:paraId="5295534C"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Non-Revenue Service Vehicle</w:t>
            </w:r>
          </w:p>
        </w:tc>
        <w:tc>
          <w:tcPr>
            <w:tcW w:w="1255" w:type="dxa"/>
            <w:vMerge w:val="restart"/>
            <w:hideMark/>
          </w:tcPr>
          <w:p w14:paraId="45A97947"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Truck</w:t>
            </w:r>
          </w:p>
        </w:tc>
        <w:tc>
          <w:tcPr>
            <w:tcW w:w="3699" w:type="dxa"/>
            <w:hideMark/>
          </w:tcPr>
          <w:p w14:paraId="119E7D80"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Ford F-350 Diesel Pick-up</w:t>
            </w:r>
          </w:p>
        </w:tc>
        <w:tc>
          <w:tcPr>
            <w:tcW w:w="973" w:type="dxa"/>
            <w:hideMark/>
          </w:tcPr>
          <w:p w14:paraId="08414FC6"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p>
        </w:tc>
        <w:tc>
          <w:tcPr>
            <w:tcW w:w="957" w:type="dxa"/>
            <w:hideMark/>
          </w:tcPr>
          <w:p w14:paraId="4C9E2237" w14:textId="713C7AF7"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8</w:t>
            </w:r>
          </w:p>
        </w:tc>
        <w:tc>
          <w:tcPr>
            <w:tcW w:w="1053" w:type="dxa"/>
            <w:hideMark/>
          </w:tcPr>
          <w:p w14:paraId="6993762A"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14</w:t>
            </w:r>
          </w:p>
        </w:tc>
      </w:tr>
      <w:tr w:rsidR="001B1A8C" w:rsidRPr="00980D99" w14:paraId="62377D40" w14:textId="77777777" w:rsidTr="001B1A8C">
        <w:trPr>
          <w:trHeight w:val="288"/>
          <w:jc w:val="center"/>
        </w:trPr>
        <w:tc>
          <w:tcPr>
            <w:cnfStyle w:val="001000000000" w:firstRow="0" w:lastRow="0" w:firstColumn="1" w:lastColumn="0" w:oddVBand="0" w:evenVBand="0" w:oddHBand="0" w:evenHBand="0" w:firstRowFirstColumn="0" w:firstRowLastColumn="0" w:lastRowFirstColumn="0" w:lastRowLastColumn="0"/>
            <w:tcW w:w="1249" w:type="dxa"/>
            <w:vMerge/>
            <w:hideMark/>
          </w:tcPr>
          <w:p w14:paraId="1742F26B" w14:textId="77777777" w:rsidR="001B1A8C" w:rsidRPr="00980D99" w:rsidRDefault="001B1A8C" w:rsidP="003F12DA">
            <w:pPr>
              <w:rPr>
                <w:rFonts w:eastAsia="Times New Roman" w:cs="Times New Roman"/>
                <w:color w:val="000000"/>
              </w:rPr>
            </w:pPr>
          </w:p>
        </w:tc>
        <w:tc>
          <w:tcPr>
            <w:tcW w:w="1816" w:type="dxa"/>
            <w:vMerge/>
            <w:hideMark/>
          </w:tcPr>
          <w:p w14:paraId="7E5AB075"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1255" w:type="dxa"/>
            <w:vMerge/>
            <w:hideMark/>
          </w:tcPr>
          <w:p w14:paraId="7830848B"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3699" w:type="dxa"/>
            <w:hideMark/>
          </w:tcPr>
          <w:p w14:paraId="7859B510"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Ford F-350 Diesel Service Truck</w:t>
            </w:r>
          </w:p>
        </w:tc>
        <w:tc>
          <w:tcPr>
            <w:tcW w:w="973" w:type="dxa"/>
            <w:hideMark/>
          </w:tcPr>
          <w:p w14:paraId="24842EA9"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p>
        </w:tc>
        <w:tc>
          <w:tcPr>
            <w:tcW w:w="957" w:type="dxa"/>
            <w:hideMark/>
          </w:tcPr>
          <w:p w14:paraId="7DFEC901" w14:textId="38464347"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8</w:t>
            </w:r>
          </w:p>
        </w:tc>
        <w:tc>
          <w:tcPr>
            <w:tcW w:w="1053" w:type="dxa"/>
            <w:hideMark/>
          </w:tcPr>
          <w:p w14:paraId="327233BC"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14</w:t>
            </w:r>
          </w:p>
        </w:tc>
      </w:tr>
      <w:tr w:rsidR="001B1A8C" w:rsidRPr="00980D99" w14:paraId="334FA22B" w14:textId="77777777" w:rsidTr="001B1A8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49" w:type="dxa"/>
            <w:vMerge/>
            <w:hideMark/>
          </w:tcPr>
          <w:p w14:paraId="05CCE4CF" w14:textId="77777777" w:rsidR="001B1A8C" w:rsidRPr="00980D99" w:rsidRDefault="001B1A8C" w:rsidP="003F12DA">
            <w:pPr>
              <w:rPr>
                <w:rFonts w:eastAsia="Times New Roman" w:cs="Times New Roman"/>
                <w:color w:val="000000"/>
              </w:rPr>
            </w:pPr>
          </w:p>
        </w:tc>
        <w:tc>
          <w:tcPr>
            <w:tcW w:w="1816" w:type="dxa"/>
            <w:vMerge/>
            <w:hideMark/>
          </w:tcPr>
          <w:p w14:paraId="20728389" w14:textId="77777777" w:rsidR="001B1A8C" w:rsidRPr="00980D99" w:rsidRDefault="001B1A8C" w:rsidP="003F12D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c>
          <w:tcPr>
            <w:tcW w:w="1255" w:type="dxa"/>
            <w:vMerge/>
            <w:hideMark/>
          </w:tcPr>
          <w:p w14:paraId="642CEA4C" w14:textId="77777777" w:rsidR="001B1A8C" w:rsidRPr="00980D99" w:rsidRDefault="001B1A8C" w:rsidP="003F12D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c>
          <w:tcPr>
            <w:tcW w:w="3699" w:type="dxa"/>
            <w:hideMark/>
          </w:tcPr>
          <w:p w14:paraId="2A25430C"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Ford 1 Ton Diesel Service Truck</w:t>
            </w:r>
          </w:p>
        </w:tc>
        <w:tc>
          <w:tcPr>
            <w:tcW w:w="973" w:type="dxa"/>
            <w:hideMark/>
          </w:tcPr>
          <w:p w14:paraId="7289EA3D"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p>
        </w:tc>
        <w:tc>
          <w:tcPr>
            <w:tcW w:w="957" w:type="dxa"/>
            <w:hideMark/>
          </w:tcPr>
          <w:p w14:paraId="2FEC1FEC" w14:textId="7A8FC3D8"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w:t>
            </w:r>
            <w:r>
              <w:rPr>
                <w:rFonts w:eastAsia="Times New Roman" w:cs="Times New Roman"/>
                <w:color w:val="000000"/>
              </w:rPr>
              <w:t>3</w:t>
            </w:r>
          </w:p>
        </w:tc>
        <w:tc>
          <w:tcPr>
            <w:tcW w:w="1053" w:type="dxa"/>
            <w:hideMark/>
          </w:tcPr>
          <w:p w14:paraId="10915AA8"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14</w:t>
            </w:r>
          </w:p>
        </w:tc>
      </w:tr>
      <w:tr w:rsidR="001B1A8C" w:rsidRPr="00980D99" w14:paraId="67C2F3AB" w14:textId="77777777" w:rsidTr="001B1A8C">
        <w:trPr>
          <w:trHeight w:val="300"/>
          <w:jc w:val="center"/>
        </w:trPr>
        <w:tc>
          <w:tcPr>
            <w:cnfStyle w:val="001000000000" w:firstRow="0" w:lastRow="0" w:firstColumn="1" w:lastColumn="0" w:oddVBand="0" w:evenVBand="0" w:oddHBand="0" w:evenHBand="0" w:firstRowFirstColumn="0" w:firstRowLastColumn="0" w:lastRowFirstColumn="0" w:lastRowLastColumn="0"/>
            <w:tcW w:w="1249" w:type="dxa"/>
            <w:vMerge/>
            <w:hideMark/>
          </w:tcPr>
          <w:p w14:paraId="110D1BDF" w14:textId="77777777" w:rsidR="001B1A8C" w:rsidRPr="00980D99" w:rsidRDefault="001B1A8C" w:rsidP="003F12DA">
            <w:pPr>
              <w:rPr>
                <w:rFonts w:eastAsia="Times New Roman" w:cs="Times New Roman"/>
                <w:color w:val="000000"/>
              </w:rPr>
            </w:pPr>
          </w:p>
        </w:tc>
        <w:tc>
          <w:tcPr>
            <w:tcW w:w="1816" w:type="dxa"/>
            <w:vMerge/>
            <w:hideMark/>
          </w:tcPr>
          <w:p w14:paraId="3EF30218"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1255" w:type="dxa"/>
            <w:hideMark/>
          </w:tcPr>
          <w:p w14:paraId="0BA42285"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Automobile</w:t>
            </w:r>
          </w:p>
        </w:tc>
        <w:tc>
          <w:tcPr>
            <w:tcW w:w="3699" w:type="dxa"/>
            <w:hideMark/>
          </w:tcPr>
          <w:p w14:paraId="32CD0CF4"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Chevy Gas Impala Sedan</w:t>
            </w:r>
          </w:p>
        </w:tc>
        <w:tc>
          <w:tcPr>
            <w:tcW w:w="973" w:type="dxa"/>
            <w:hideMark/>
          </w:tcPr>
          <w:p w14:paraId="7F76AECC"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w:t>
            </w:r>
          </w:p>
        </w:tc>
        <w:tc>
          <w:tcPr>
            <w:tcW w:w="957" w:type="dxa"/>
            <w:hideMark/>
          </w:tcPr>
          <w:p w14:paraId="071CD73A" w14:textId="7859397D"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r w:rsidR="006E162B">
              <w:rPr>
                <w:rFonts w:eastAsia="Times New Roman" w:cs="Times New Roman"/>
                <w:color w:val="000000"/>
              </w:rPr>
              <w:t>2</w:t>
            </w:r>
          </w:p>
        </w:tc>
        <w:tc>
          <w:tcPr>
            <w:tcW w:w="1053" w:type="dxa"/>
            <w:hideMark/>
          </w:tcPr>
          <w:p w14:paraId="78797D25"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8</w:t>
            </w:r>
          </w:p>
        </w:tc>
      </w:tr>
    </w:tbl>
    <w:p w14:paraId="3D0AD172" w14:textId="77777777" w:rsidR="001B1A8C" w:rsidRDefault="001B1A8C" w:rsidP="001B1A8C">
      <w:bookmarkStart w:id="5" w:name="_Hlk529537987"/>
      <w:r w:rsidRPr="004849A1">
        <w:t>*Useful Life Benchmark (ULB): defined by FTA as the expected amount of time in years that a vehicle type is estimated to function</w:t>
      </w:r>
    </w:p>
    <w:bookmarkEnd w:id="5"/>
    <w:p w14:paraId="6C4AE23F" w14:textId="77777777" w:rsidR="001B1A8C" w:rsidRDefault="001B1A8C" w:rsidP="001B1A8C"/>
    <w:tbl>
      <w:tblPr>
        <w:tblStyle w:val="PlainTable2"/>
        <w:tblpPr w:leftFromText="180" w:rightFromText="180" w:vertAnchor="text" w:horzAnchor="margin" w:tblpXSpec="center" w:tblpY="269"/>
        <w:tblW w:w="11015" w:type="dxa"/>
        <w:tblLook w:val="04A0" w:firstRow="1" w:lastRow="0" w:firstColumn="1" w:lastColumn="0" w:noHBand="0" w:noVBand="1"/>
      </w:tblPr>
      <w:tblGrid>
        <w:gridCol w:w="1278"/>
        <w:gridCol w:w="1782"/>
        <w:gridCol w:w="3785"/>
        <w:gridCol w:w="1072"/>
        <w:gridCol w:w="893"/>
        <w:gridCol w:w="2205"/>
      </w:tblGrid>
      <w:tr w:rsidR="001B1A8C" w:rsidRPr="00980D99" w14:paraId="303A6E45" w14:textId="77777777" w:rsidTr="001B1A8C">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278" w:type="dxa"/>
            <w:hideMark/>
          </w:tcPr>
          <w:p w14:paraId="0FD686AC" w14:textId="77777777" w:rsidR="001B1A8C" w:rsidRPr="00980D99" w:rsidRDefault="001B1A8C" w:rsidP="003F12DA">
            <w:pPr>
              <w:jc w:val="center"/>
              <w:rPr>
                <w:rFonts w:eastAsia="Times New Roman" w:cs="Times New Roman"/>
                <w:b w:val="0"/>
                <w:bCs w:val="0"/>
                <w:color w:val="000000"/>
              </w:rPr>
            </w:pPr>
            <w:r w:rsidRPr="00980D99">
              <w:rPr>
                <w:rFonts w:eastAsia="Times New Roman" w:cs="Times New Roman"/>
                <w:color w:val="000000"/>
              </w:rPr>
              <w:t>Asset Category</w:t>
            </w:r>
          </w:p>
        </w:tc>
        <w:tc>
          <w:tcPr>
            <w:tcW w:w="1782" w:type="dxa"/>
            <w:hideMark/>
          </w:tcPr>
          <w:p w14:paraId="33F92AA9"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Asset Class</w:t>
            </w:r>
          </w:p>
        </w:tc>
        <w:tc>
          <w:tcPr>
            <w:tcW w:w="3785" w:type="dxa"/>
            <w:hideMark/>
          </w:tcPr>
          <w:p w14:paraId="78E65561"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Asset Type</w:t>
            </w:r>
          </w:p>
        </w:tc>
        <w:tc>
          <w:tcPr>
            <w:tcW w:w="1072" w:type="dxa"/>
            <w:hideMark/>
          </w:tcPr>
          <w:p w14:paraId="37666F16"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In-Service Year</w:t>
            </w:r>
          </w:p>
        </w:tc>
        <w:tc>
          <w:tcPr>
            <w:tcW w:w="893" w:type="dxa"/>
            <w:hideMark/>
          </w:tcPr>
          <w:p w14:paraId="6FC07AC7"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980D99">
              <w:rPr>
                <w:rFonts w:eastAsia="Times New Roman" w:cs="Times New Roman"/>
                <w:color w:val="000000"/>
              </w:rPr>
              <w:t xml:space="preserve">Asset Age </w:t>
            </w:r>
          </w:p>
        </w:tc>
        <w:tc>
          <w:tcPr>
            <w:tcW w:w="2205" w:type="dxa"/>
            <w:hideMark/>
          </w:tcPr>
          <w:p w14:paraId="463311B0" w14:textId="77777777" w:rsidR="001B1A8C" w:rsidRPr="00980D99" w:rsidRDefault="001B1A8C" w:rsidP="003F12D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4849A1">
              <w:rPr>
                <w:rFonts w:eastAsia="Times New Roman" w:cs="Times New Roman"/>
                <w:color w:val="000000"/>
              </w:rPr>
              <w:t xml:space="preserve">Condition </w:t>
            </w:r>
            <w:r>
              <w:rPr>
                <w:rFonts w:eastAsia="Times New Roman" w:cs="Times New Roman"/>
                <w:color w:val="000000"/>
              </w:rPr>
              <w:t xml:space="preserve">Rating </w:t>
            </w:r>
            <w:r w:rsidRPr="004849A1">
              <w:rPr>
                <w:rFonts w:eastAsia="Times New Roman" w:cs="Times New Roman"/>
                <w:color w:val="000000"/>
              </w:rPr>
              <w:t>based on TERM</w:t>
            </w:r>
            <w:r>
              <w:rPr>
                <w:rFonts w:eastAsia="Times New Roman" w:cs="Times New Roman"/>
                <w:color w:val="000000"/>
              </w:rPr>
              <w:t>**</w:t>
            </w:r>
            <w:r w:rsidRPr="004849A1">
              <w:rPr>
                <w:rFonts w:eastAsia="Times New Roman" w:cs="Times New Roman"/>
                <w:color w:val="000000"/>
              </w:rPr>
              <w:t xml:space="preserve"> Scale </w:t>
            </w:r>
          </w:p>
        </w:tc>
      </w:tr>
      <w:tr w:rsidR="001B1A8C" w:rsidRPr="00980D99" w14:paraId="691750C8" w14:textId="77777777" w:rsidTr="001B1A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8" w:type="dxa"/>
            <w:vMerge w:val="restart"/>
            <w:hideMark/>
          </w:tcPr>
          <w:p w14:paraId="4CA52508" w14:textId="77777777" w:rsidR="001B1A8C" w:rsidRPr="00980D99" w:rsidRDefault="001B1A8C" w:rsidP="003F12DA">
            <w:pPr>
              <w:jc w:val="center"/>
              <w:rPr>
                <w:rFonts w:eastAsia="Times New Roman" w:cs="Times New Roman"/>
                <w:color w:val="000000"/>
              </w:rPr>
            </w:pPr>
            <w:r w:rsidRPr="00980D99">
              <w:rPr>
                <w:rFonts w:eastAsia="Times New Roman" w:cs="Times New Roman"/>
                <w:color w:val="000000"/>
              </w:rPr>
              <w:t>Equipment</w:t>
            </w:r>
          </w:p>
        </w:tc>
        <w:tc>
          <w:tcPr>
            <w:tcW w:w="1782" w:type="dxa"/>
            <w:vMerge w:val="restart"/>
            <w:hideMark/>
          </w:tcPr>
          <w:p w14:paraId="768A872F"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Maintenance Equipment</w:t>
            </w:r>
          </w:p>
        </w:tc>
        <w:tc>
          <w:tcPr>
            <w:tcW w:w="3785" w:type="dxa"/>
            <w:hideMark/>
          </w:tcPr>
          <w:p w14:paraId="3B7109C4"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Star Transromantic Brake Lathe</w:t>
            </w:r>
          </w:p>
        </w:tc>
        <w:tc>
          <w:tcPr>
            <w:tcW w:w="1072" w:type="dxa"/>
            <w:hideMark/>
          </w:tcPr>
          <w:p w14:paraId="7A90690F"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1977</w:t>
            </w:r>
          </w:p>
        </w:tc>
        <w:tc>
          <w:tcPr>
            <w:tcW w:w="893" w:type="dxa"/>
            <w:hideMark/>
          </w:tcPr>
          <w:p w14:paraId="111B61E2" w14:textId="11FF72B7"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r>
              <w:rPr>
                <w:rFonts w:eastAsia="Times New Roman" w:cs="Times New Roman"/>
                <w:color w:val="000000"/>
              </w:rPr>
              <w:t>1</w:t>
            </w:r>
          </w:p>
        </w:tc>
        <w:tc>
          <w:tcPr>
            <w:tcW w:w="2205" w:type="dxa"/>
            <w:hideMark/>
          </w:tcPr>
          <w:p w14:paraId="6286D146"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4DA3E039" w14:textId="77777777" w:rsidTr="001B1A8C">
        <w:trPr>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3E82E724" w14:textId="77777777" w:rsidR="001B1A8C" w:rsidRPr="00980D99" w:rsidRDefault="001B1A8C" w:rsidP="003F12DA">
            <w:pPr>
              <w:rPr>
                <w:rFonts w:eastAsia="Times New Roman" w:cs="Times New Roman"/>
                <w:color w:val="000000"/>
              </w:rPr>
            </w:pPr>
          </w:p>
        </w:tc>
        <w:tc>
          <w:tcPr>
            <w:tcW w:w="1782" w:type="dxa"/>
            <w:vMerge/>
            <w:hideMark/>
          </w:tcPr>
          <w:p w14:paraId="3EEA2BCA"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3785" w:type="dxa"/>
            <w:hideMark/>
          </w:tcPr>
          <w:p w14:paraId="389ECAD0"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Owatonna 100 Ton Hydraulic Press</w:t>
            </w:r>
          </w:p>
        </w:tc>
        <w:tc>
          <w:tcPr>
            <w:tcW w:w="1072" w:type="dxa"/>
            <w:hideMark/>
          </w:tcPr>
          <w:p w14:paraId="3ED74CA7"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1977</w:t>
            </w:r>
          </w:p>
        </w:tc>
        <w:tc>
          <w:tcPr>
            <w:tcW w:w="893" w:type="dxa"/>
            <w:hideMark/>
          </w:tcPr>
          <w:p w14:paraId="64A47A42" w14:textId="0FE0852A"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r>
              <w:rPr>
                <w:rFonts w:eastAsia="Times New Roman" w:cs="Times New Roman"/>
                <w:color w:val="000000"/>
              </w:rPr>
              <w:t>1</w:t>
            </w:r>
          </w:p>
        </w:tc>
        <w:tc>
          <w:tcPr>
            <w:tcW w:w="2205" w:type="dxa"/>
            <w:hideMark/>
          </w:tcPr>
          <w:p w14:paraId="14F31CC8"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63F6D22A" w14:textId="77777777" w:rsidTr="001B1A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22DDD40F" w14:textId="77777777" w:rsidR="001B1A8C" w:rsidRPr="00980D99" w:rsidRDefault="001B1A8C" w:rsidP="003F12DA">
            <w:pPr>
              <w:rPr>
                <w:rFonts w:eastAsia="Times New Roman" w:cs="Times New Roman"/>
                <w:color w:val="000000"/>
              </w:rPr>
            </w:pPr>
          </w:p>
        </w:tc>
        <w:tc>
          <w:tcPr>
            <w:tcW w:w="1782" w:type="dxa"/>
            <w:vMerge/>
            <w:hideMark/>
          </w:tcPr>
          <w:p w14:paraId="331D05C3" w14:textId="77777777" w:rsidR="001B1A8C" w:rsidRPr="00980D99" w:rsidRDefault="001B1A8C" w:rsidP="003F12D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c>
          <w:tcPr>
            <w:tcW w:w="3785" w:type="dxa"/>
            <w:hideMark/>
          </w:tcPr>
          <w:p w14:paraId="7B72DA29"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Snap On 134A Refrigerant Recycler</w:t>
            </w:r>
          </w:p>
        </w:tc>
        <w:tc>
          <w:tcPr>
            <w:tcW w:w="1072" w:type="dxa"/>
            <w:hideMark/>
          </w:tcPr>
          <w:p w14:paraId="00284C50"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1994</w:t>
            </w:r>
          </w:p>
        </w:tc>
        <w:tc>
          <w:tcPr>
            <w:tcW w:w="893" w:type="dxa"/>
            <w:hideMark/>
          </w:tcPr>
          <w:p w14:paraId="25043E74" w14:textId="336155F4"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w:t>
            </w:r>
            <w:r>
              <w:rPr>
                <w:rFonts w:eastAsia="Times New Roman" w:cs="Times New Roman"/>
                <w:color w:val="000000"/>
              </w:rPr>
              <w:t>4</w:t>
            </w:r>
          </w:p>
        </w:tc>
        <w:tc>
          <w:tcPr>
            <w:tcW w:w="2205" w:type="dxa"/>
            <w:hideMark/>
          </w:tcPr>
          <w:p w14:paraId="2EDCB41F"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306F2BEB" w14:textId="77777777" w:rsidTr="001B1A8C">
        <w:trPr>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0EE98B59" w14:textId="77777777" w:rsidR="001B1A8C" w:rsidRPr="00980D99" w:rsidRDefault="001B1A8C" w:rsidP="003F12DA">
            <w:pPr>
              <w:rPr>
                <w:rFonts w:eastAsia="Times New Roman" w:cs="Times New Roman"/>
                <w:color w:val="000000"/>
              </w:rPr>
            </w:pPr>
          </w:p>
        </w:tc>
        <w:tc>
          <w:tcPr>
            <w:tcW w:w="1782" w:type="dxa"/>
            <w:vMerge/>
            <w:hideMark/>
          </w:tcPr>
          <w:p w14:paraId="30939300"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3785" w:type="dxa"/>
            <w:hideMark/>
          </w:tcPr>
          <w:p w14:paraId="287B2D49"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Tenant Sweep and Scrub</w:t>
            </w:r>
          </w:p>
        </w:tc>
        <w:tc>
          <w:tcPr>
            <w:tcW w:w="1072" w:type="dxa"/>
            <w:hideMark/>
          </w:tcPr>
          <w:p w14:paraId="18850B89"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2003</w:t>
            </w:r>
          </w:p>
        </w:tc>
        <w:tc>
          <w:tcPr>
            <w:tcW w:w="893" w:type="dxa"/>
            <w:hideMark/>
          </w:tcPr>
          <w:p w14:paraId="43183B38" w14:textId="382B463C"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r>
              <w:rPr>
                <w:rFonts w:eastAsia="Times New Roman" w:cs="Times New Roman"/>
                <w:color w:val="000000"/>
              </w:rPr>
              <w:t>5</w:t>
            </w:r>
          </w:p>
        </w:tc>
        <w:tc>
          <w:tcPr>
            <w:tcW w:w="2205" w:type="dxa"/>
            <w:hideMark/>
          </w:tcPr>
          <w:p w14:paraId="13A4B2E1"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5CA68F9E" w14:textId="77777777" w:rsidTr="001B1A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33F4A978" w14:textId="77777777" w:rsidR="001B1A8C" w:rsidRPr="00980D99" w:rsidRDefault="001B1A8C" w:rsidP="003F12DA">
            <w:pPr>
              <w:rPr>
                <w:rFonts w:eastAsia="Times New Roman" w:cs="Times New Roman"/>
                <w:color w:val="000000"/>
              </w:rPr>
            </w:pPr>
          </w:p>
        </w:tc>
        <w:tc>
          <w:tcPr>
            <w:tcW w:w="1782" w:type="dxa"/>
            <w:vMerge/>
            <w:hideMark/>
          </w:tcPr>
          <w:p w14:paraId="4C1624EE" w14:textId="77777777" w:rsidR="001B1A8C" w:rsidRPr="00980D99" w:rsidRDefault="001B1A8C" w:rsidP="003F12D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c>
          <w:tcPr>
            <w:tcW w:w="3785" w:type="dxa"/>
            <w:hideMark/>
          </w:tcPr>
          <w:p w14:paraId="08938B1E"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Hyster H12XM Forklift</w:t>
            </w:r>
          </w:p>
        </w:tc>
        <w:tc>
          <w:tcPr>
            <w:tcW w:w="1072" w:type="dxa"/>
            <w:hideMark/>
          </w:tcPr>
          <w:p w14:paraId="1F4CAA68"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2004</w:t>
            </w:r>
          </w:p>
        </w:tc>
        <w:tc>
          <w:tcPr>
            <w:tcW w:w="893" w:type="dxa"/>
            <w:hideMark/>
          </w:tcPr>
          <w:p w14:paraId="5B322D93" w14:textId="6F324868"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w:t>
            </w:r>
            <w:r>
              <w:rPr>
                <w:rFonts w:eastAsia="Times New Roman" w:cs="Times New Roman"/>
                <w:color w:val="000000"/>
              </w:rPr>
              <w:t>4</w:t>
            </w:r>
          </w:p>
        </w:tc>
        <w:tc>
          <w:tcPr>
            <w:tcW w:w="2205" w:type="dxa"/>
            <w:hideMark/>
          </w:tcPr>
          <w:p w14:paraId="2F0B396B"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396FAD03" w14:textId="77777777" w:rsidTr="001B1A8C">
        <w:trPr>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7CE080C1" w14:textId="77777777" w:rsidR="001B1A8C" w:rsidRPr="00980D99" w:rsidRDefault="001B1A8C" w:rsidP="003F12DA">
            <w:pPr>
              <w:rPr>
                <w:rFonts w:eastAsia="Times New Roman" w:cs="Times New Roman"/>
                <w:color w:val="000000"/>
              </w:rPr>
            </w:pPr>
          </w:p>
        </w:tc>
        <w:tc>
          <w:tcPr>
            <w:tcW w:w="1782" w:type="dxa"/>
            <w:vMerge/>
            <w:hideMark/>
          </w:tcPr>
          <w:p w14:paraId="4BB85C95" w14:textId="77777777" w:rsidR="001B1A8C" w:rsidRPr="00980D99" w:rsidRDefault="001B1A8C" w:rsidP="003F12D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c>
          <w:tcPr>
            <w:tcW w:w="3785" w:type="dxa"/>
            <w:hideMark/>
          </w:tcPr>
          <w:p w14:paraId="7AC48C54"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ARI HEDRA Portable Lift System</w:t>
            </w:r>
          </w:p>
        </w:tc>
        <w:tc>
          <w:tcPr>
            <w:tcW w:w="1072" w:type="dxa"/>
            <w:hideMark/>
          </w:tcPr>
          <w:p w14:paraId="6148684D"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2010</w:t>
            </w:r>
          </w:p>
        </w:tc>
        <w:tc>
          <w:tcPr>
            <w:tcW w:w="893" w:type="dxa"/>
            <w:hideMark/>
          </w:tcPr>
          <w:p w14:paraId="31D6407E" w14:textId="7710AB19"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8</w:t>
            </w:r>
          </w:p>
        </w:tc>
        <w:tc>
          <w:tcPr>
            <w:tcW w:w="2205" w:type="dxa"/>
            <w:hideMark/>
          </w:tcPr>
          <w:p w14:paraId="0374F88B"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230EA8E3" w14:textId="77777777" w:rsidTr="001B1A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0C4D0EA1" w14:textId="77777777" w:rsidR="001B1A8C" w:rsidRPr="00980D99" w:rsidRDefault="001B1A8C" w:rsidP="003F12DA">
            <w:pPr>
              <w:rPr>
                <w:rFonts w:eastAsia="Times New Roman" w:cs="Times New Roman"/>
                <w:color w:val="000000"/>
              </w:rPr>
            </w:pPr>
          </w:p>
        </w:tc>
        <w:tc>
          <w:tcPr>
            <w:tcW w:w="1782" w:type="dxa"/>
            <w:hideMark/>
          </w:tcPr>
          <w:p w14:paraId="0336F55B"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Bus Washer</w:t>
            </w:r>
          </w:p>
        </w:tc>
        <w:tc>
          <w:tcPr>
            <w:tcW w:w="3785" w:type="dxa"/>
            <w:hideMark/>
          </w:tcPr>
          <w:p w14:paraId="6E6F66BE"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Bus Washer</w:t>
            </w:r>
          </w:p>
        </w:tc>
        <w:tc>
          <w:tcPr>
            <w:tcW w:w="1072" w:type="dxa"/>
            <w:hideMark/>
          </w:tcPr>
          <w:p w14:paraId="42C57A31"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2011</w:t>
            </w:r>
          </w:p>
        </w:tc>
        <w:tc>
          <w:tcPr>
            <w:tcW w:w="893" w:type="dxa"/>
            <w:hideMark/>
          </w:tcPr>
          <w:p w14:paraId="2CED7B40" w14:textId="5580DEE2"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7</w:t>
            </w:r>
          </w:p>
        </w:tc>
        <w:tc>
          <w:tcPr>
            <w:tcW w:w="2205" w:type="dxa"/>
            <w:hideMark/>
          </w:tcPr>
          <w:p w14:paraId="2D9E0ABC"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5B238682" w14:textId="77777777" w:rsidTr="001B1A8C">
        <w:trPr>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0471D719" w14:textId="77777777" w:rsidR="001B1A8C" w:rsidRPr="00980D99" w:rsidRDefault="001B1A8C" w:rsidP="003F12DA">
            <w:pPr>
              <w:rPr>
                <w:rFonts w:eastAsia="Times New Roman" w:cs="Times New Roman"/>
                <w:color w:val="000000"/>
              </w:rPr>
            </w:pPr>
          </w:p>
        </w:tc>
        <w:tc>
          <w:tcPr>
            <w:tcW w:w="1782" w:type="dxa"/>
            <w:hideMark/>
          </w:tcPr>
          <w:p w14:paraId="1E558A43"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Fueling Station</w:t>
            </w:r>
          </w:p>
        </w:tc>
        <w:tc>
          <w:tcPr>
            <w:tcW w:w="3785" w:type="dxa"/>
            <w:hideMark/>
          </w:tcPr>
          <w:p w14:paraId="52A5FE50"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Pinnacle CNG Fast Fill Fueling Station</w:t>
            </w:r>
          </w:p>
        </w:tc>
        <w:tc>
          <w:tcPr>
            <w:tcW w:w="1072" w:type="dxa"/>
            <w:hideMark/>
          </w:tcPr>
          <w:p w14:paraId="451A11F6"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2008</w:t>
            </w:r>
          </w:p>
        </w:tc>
        <w:tc>
          <w:tcPr>
            <w:tcW w:w="893" w:type="dxa"/>
            <w:hideMark/>
          </w:tcPr>
          <w:p w14:paraId="142FEE79" w14:textId="4BF3673B"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10</w:t>
            </w:r>
          </w:p>
        </w:tc>
        <w:tc>
          <w:tcPr>
            <w:tcW w:w="2205" w:type="dxa"/>
            <w:hideMark/>
          </w:tcPr>
          <w:p w14:paraId="0DDC6536"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6CA7A7AF" w14:textId="77777777" w:rsidTr="001B1A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8" w:type="dxa"/>
            <w:vMerge w:val="restart"/>
            <w:hideMark/>
          </w:tcPr>
          <w:p w14:paraId="7CEC0469" w14:textId="77777777" w:rsidR="001B1A8C" w:rsidRPr="00980D99" w:rsidRDefault="001B1A8C" w:rsidP="003F12DA">
            <w:pPr>
              <w:jc w:val="center"/>
              <w:rPr>
                <w:rFonts w:eastAsia="Times New Roman" w:cs="Times New Roman"/>
                <w:color w:val="000000"/>
              </w:rPr>
            </w:pPr>
            <w:r w:rsidRPr="00980D99">
              <w:rPr>
                <w:rFonts w:eastAsia="Times New Roman" w:cs="Times New Roman"/>
                <w:color w:val="000000"/>
              </w:rPr>
              <w:t>Facility</w:t>
            </w:r>
          </w:p>
        </w:tc>
        <w:tc>
          <w:tcPr>
            <w:tcW w:w="1782" w:type="dxa"/>
            <w:hideMark/>
          </w:tcPr>
          <w:p w14:paraId="05723286"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 xml:space="preserve">Supporting Facility </w:t>
            </w:r>
          </w:p>
        </w:tc>
        <w:tc>
          <w:tcPr>
            <w:tcW w:w="3785" w:type="dxa"/>
            <w:hideMark/>
          </w:tcPr>
          <w:p w14:paraId="0908F442"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 xml:space="preserve">Transit Administrative Offices and Maintenance shop/yard </w:t>
            </w:r>
          </w:p>
        </w:tc>
        <w:tc>
          <w:tcPr>
            <w:tcW w:w="1072" w:type="dxa"/>
            <w:hideMark/>
          </w:tcPr>
          <w:p w14:paraId="378F3695"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1977</w:t>
            </w:r>
          </w:p>
        </w:tc>
        <w:tc>
          <w:tcPr>
            <w:tcW w:w="893" w:type="dxa"/>
            <w:hideMark/>
          </w:tcPr>
          <w:p w14:paraId="0C2DCB39" w14:textId="53CC282F" w:rsidR="001B1A8C" w:rsidRPr="00980D99" w:rsidRDefault="006E162B"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r>
              <w:rPr>
                <w:rFonts w:eastAsia="Times New Roman" w:cs="Times New Roman"/>
                <w:color w:val="000000"/>
              </w:rPr>
              <w:t>1</w:t>
            </w:r>
          </w:p>
        </w:tc>
        <w:tc>
          <w:tcPr>
            <w:tcW w:w="2205" w:type="dxa"/>
            <w:hideMark/>
          </w:tcPr>
          <w:p w14:paraId="53D9FC0F" w14:textId="77777777" w:rsidR="001B1A8C" w:rsidRPr="00980D99" w:rsidRDefault="001B1A8C" w:rsidP="003F12D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r w:rsidR="001B1A8C" w:rsidRPr="00980D99" w14:paraId="7B61DD66" w14:textId="77777777" w:rsidTr="001B1A8C">
        <w:trPr>
          <w:trHeight w:val="288"/>
        </w:trPr>
        <w:tc>
          <w:tcPr>
            <w:cnfStyle w:val="001000000000" w:firstRow="0" w:lastRow="0" w:firstColumn="1" w:lastColumn="0" w:oddVBand="0" w:evenVBand="0" w:oddHBand="0" w:evenHBand="0" w:firstRowFirstColumn="0" w:firstRowLastColumn="0" w:lastRowFirstColumn="0" w:lastRowLastColumn="0"/>
            <w:tcW w:w="1278" w:type="dxa"/>
            <w:vMerge/>
            <w:hideMark/>
          </w:tcPr>
          <w:p w14:paraId="76D8D56A" w14:textId="77777777" w:rsidR="001B1A8C" w:rsidRPr="00980D99" w:rsidRDefault="001B1A8C" w:rsidP="003F12DA">
            <w:pPr>
              <w:rPr>
                <w:rFonts w:eastAsia="Times New Roman" w:cs="Times New Roman"/>
                <w:color w:val="000000"/>
              </w:rPr>
            </w:pPr>
          </w:p>
        </w:tc>
        <w:tc>
          <w:tcPr>
            <w:tcW w:w="1782" w:type="dxa"/>
            <w:hideMark/>
          </w:tcPr>
          <w:p w14:paraId="778032A0"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 xml:space="preserve">Passenger Facility </w:t>
            </w:r>
          </w:p>
        </w:tc>
        <w:tc>
          <w:tcPr>
            <w:tcW w:w="3785" w:type="dxa"/>
            <w:hideMark/>
          </w:tcPr>
          <w:p w14:paraId="0C230C5B"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roofErr w:type="spellStart"/>
            <w:r w:rsidRPr="00980D99">
              <w:rPr>
                <w:rFonts w:eastAsia="Times New Roman" w:cs="Times New Roman"/>
                <w:color w:val="000000"/>
              </w:rPr>
              <w:t>Dannenbaum</w:t>
            </w:r>
            <w:proofErr w:type="spellEnd"/>
            <w:r w:rsidRPr="00980D99">
              <w:rPr>
                <w:rFonts w:eastAsia="Times New Roman" w:cs="Times New Roman"/>
                <w:color w:val="000000"/>
              </w:rPr>
              <w:t xml:space="preserve"> Station (Central Transfer Point)</w:t>
            </w:r>
          </w:p>
        </w:tc>
        <w:tc>
          <w:tcPr>
            <w:tcW w:w="1072" w:type="dxa"/>
            <w:hideMark/>
          </w:tcPr>
          <w:p w14:paraId="379DA5A6"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1997</w:t>
            </w:r>
          </w:p>
        </w:tc>
        <w:tc>
          <w:tcPr>
            <w:tcW w:w="893" w:type="dxa"/>
            <w:hideMark/>
          </w:tcPr>
          <w:p w14:paraId="35E899B0" w14:textId="5A2E868A" w:rsidR="001B1A8C" w:rsidRPr="00980D99" w:rsidRDefault="006E162B"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2</w:t>
            </w:r>
            <w:r>
              <w:rPr>
                <w:rFonts w:eastAsia="Times New Roman" w:cs="Times New Roman"/>
                <w:color w:val="000000"/>
              </w:rPr>
              <w:t>1</w:t>
            </w:r>
          </w:p>
        </w:tc>
        <w:tc>
          <w:tcPr>
            <w:tcW w:w="2205" w:type="dxa"/>
            <w:hideMark/>
          </w:tcPr>
          <w:p w14:paraId="375CBA3F" w14:textId="77777777" w:rsidR="001B1A8C" w:rsidRPr="00980D99" w:rsidRDefault="001B1A8C" w:rsidP="003F12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980D99">
              <w:rPr>
                <w:rFonts w:eastAsia="Times New Roman" w:cs="Times New Roman"/>
                <w:color w:val="000000"/>
              </w:rPr>
              <w:t>4</w:t>
            </w:r>
          </w:p>
        </w:tc>
      </w:tr>
    </w:tbl>
    <w:p w14:paraId="493934A2" w14:textId="7C0B3F45" w:rsidR="001B1A8C" w:rsidRDefault="001B1A8C" w:rsidP="001B1A8C">
      <w:bookmarkStart w:id="6" w:name="_Hlk529537998"/>
      <w:r>
        <w:t xml:space="preserve">** </w:t>
      </w:r>
      <w:r w:rsidRPr="00980D99">
        <w:t>Transit Economic Requirements Model</w:t>
      </w:r>
      <w:r>
        <w:t xml:space="preserve"> (TERM): FTA’s Capital Needs Analysis Tool. Used to assess the physical condition of transit assets</w:t>
      </w:r>
      <w:bookmarkEnd w:id="6"/>
    </w:p>
    <w:p w14:paraId="32A4F99A" w14:textId="77777777" w:rsidR="001B1A8C" w:rsidRPr="004B4B30" w:rsidRDefault="001B1A8C" w:rsidP="001B1A8C">
      <w:pPr>
        <w:pStyle w:val="BodyText"/>
      </w:pPr>
    </w:p>
    <w:p w14:paraId="795D23FC" w14:textId="77777777" w:rsidR="001B1A8C" w:rsidRDefault="001B1A8C" w:rsidP="00B412C7">
      <w:pPr>
        <w:pStyle w:val="ListBullets"/>
        <w:numPr>
          <w:ilvl w:val="0"/>
          <w:numId w:val="0"/>
        </w:numPr>
      </w:pPr>
    </w:p>
    <w:sectPr w:rsidR="001B1A8C" w:rsidSect="00D15896">
      <w:headerReference w:type="even" r:id="rId8"/>
      <w:headerReference w:type="default" r:id="rId9"/>
      <w:footerReference w:type="default" r:id="rId10"/>
      <w:headerReference w:type="first" r:id="rId11"/>
      <w:pgSz w:w="12240" w:h="15840"/>
      <w:pgMar w:top="1440" w:right="1440" w:bottom="1440" w:left="1440" w:header="720" w:footer="57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8E8A0" w14:textId="77777777" w:rsidR="00AA2C55" w:rsidRDefault="00AA2C55" w:rsidP="00E007E0">
      <w:pPr>
        <w:spacing w:before="0" w:after="0" w:line="240" w:lineRule="auto"/>
      </w:pPr>
      <w:r>
        <w:separator/>
      </w:r>
    </w:p>
  </w:endnote>
  <w:endnote w:type="continuationSeparator" w:id="0">
    <w:p w14:paraId="3B5E57AC" w14:textId="77777777" w:rsidR="00AA2C55" w:rsidRDefault="00AA2C55" w:rsidP="00E007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450" w:type="dxa"/>
      <w:tblLook w:val="04A0" w:firstRow="1" w:lastRow="0" w:firstColumn="1" w:lastColumn="0" w:noHBand="0" w:noVBand="1"/>
    </w:tblPr>
    <w:tblGrid>
      <w:gridCol w:w="9450"/>
      <w:gridCol w:w="630"/>
    </w:tblGrid>
    <w:tr w:rsidR="00AA2C55" w14:paraId="36C794B6" w14:textId="77777777" w:rsidTr="009E217C">
      <w:tc>
        <w:tcPr>
          <w:tcW w:w="9450" w:type="dxa"/>
          <w:tcBorders>
            <w:top w:val="nil"/>
            <w:left w:val="nil"/>
            <w:bottom w:val="nil"/>
            <w:right w:val="nil"/>
          </w:tcBorders>
        </w:tcPr>
        <w:p w14:paraId="5945B89D" w14:textId="77777777" w:rsidR="00AA2C55" w:rsidRPr="009E217C" w:rsidRDefault="00AA2C55" w:rsidP="009E217C">
          <w:pPr>
            <w:pStyle w:val="Footer"/>
            <w:ind w:right="163"/>
            <w:jc w:val="right"/>
            <w:rPr>
              <w:i/>
              <w:color w:val="00A64F" w:themeColor="accent1"/>
            </w:rPr>
          </w:pPr>
          <w:r w:rsidRPr="009E217C">
            <w:rPr>
              <w:i/>
              <w:color w:val="00A64F" w:themeColor="accent1"/>
            </w:rPr>
            <w:t>BMT Traffic Asset Management Plan</w:t>
          </w:r>
        </w:p>
      </w:tc>
      <w:tc>
        <w:tcPr>
          <w:tcW w:w="630" w:type="dxa"/>
          <w:tcBorders>
            <w:top w:val="nil"/>
            <w:left w:val="nil"/>
            <w:bottom w:val="nil"/>
            <w:right w:val="nil"/>
          </w:tcBorders>
        </w:tcPr>
        <w:sdt>
          <w:sdtPr>
            <w:id w:val="814218944"/>
            <w:docPartObj>
              <w:docPartGallery w:val="Page Numbers (Bottom of Page)"/>
              <w:docPartUnique/>
            </w:docPartObj>
          </w:sdtPr>
          <w:sdtEndPr>
            <w:rPr>
              <w:noProof/>
            </w:rPr>
          </w:sdtEndPr>
          <w:sdtContent>
            <w:p w14:paraId="62C83C8B" w14:textId="77777777" w:rsidR="00AA2C55" w:rsidRDefault="00AA2C55" w:rsidP="009E217C">
              <w:pPr>
                <w:pStyle w:val="Footer"/>
                <w:jc w:val="center"/>
                <w:rPr>
                  <w:noProof/>
                </w:rPr>
              </w:pPr>
              <w:r>
                <w:fldChar w:fldCharType="begin"/>
              </w:r>
              <w:r>
                <w:instrText xml:space="preserve"> PAGE   \* MERGEFORMAT </w:instrText>
              </w:r>
              <w:r>
                <w:fldChar w:fldCharType="separate"/>
              </w:r>
              <w:r>
                <w:t>1</w:t>
              </w:r>
              <w:r>
                <w:rPr>
                  <w:noProof/>
                </w:rPr>
                <w:fldChar w:fldCharType="end"/>
              </w:r>
            </w:p>
          </w:sdtContent>
        </w:sdt>
      </w:tc>
    </w:tr>
  </w:tbl>
  <w:p w14:paraId="21A0D965" w14:textId="77777777" w:rsidR="00AA2C55" w:rsidRPr="009E217C" w:rsidRDefault="00AA2C55" w:rsidP="009E217C">
    <w:pPr>
      <w:pStyle w:val="Footer"/>
      <w:rPr>
        <w:sz w:val="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AF12" w14:textId="77777777" w:rsidR="00AA2C55" w:rsidRDefault="00AA2C55" w:rsidP="00E007E0">
      <w:pPr>
        <w:spacing w:before="0" w:after="0" w:line="240" w:lineRule="auto"/>
      </w:pPr>
      <w:r>
        <w:separator/>
      </w:r>
    </w:p>
  </w:footnote>
  <w:footnote w:type="continuationSeparator" w:id="0">
    <w:p w14:paraId="1109AE86" w14:textId="77777777" w:rsidR="00AA2C55" w:rsidRDefault="00AA2C55" w:rsidP="00E007E0">
      <w:pPr>
        <w:spacing w:before="0" w:after="0" w:line="240" w:lineRule="auto"/>
      </w:pPr>
      <w:r>
        <w:continuationSeparator/>
      </w:r>
    </w:p>
  </w:footnote>
  <w:footnote w:id="1">
    <w:p w14:paraId="54934803" w14:textId="77777777" w:rsidR="00AA2C55" w:rsidRDefault="00AA2C55" w:rsidP="00D55665">
      <w:pPr>
        <w:pStyle w:val="Footnote"/>
      </w:pPr>
      <w:r>
        <w:rPr>
          <w:rStyle w:val="FootnoteReference"/>
        </w:rPr>
        <w:footnoteRef/>
      </w:r>
      <w:r>
        <w:t xml:space="preserve"> </w:t>
      </w:r>
      <w:r w:rsidRPr="00D55665">
        <w:t>https://www.transit.dot.gov/sites/fta.dot.gov/files/docs/FTA%20TAM%20ULB%20Cheat%20Sheet%202016-10-26.pdf</w:t>
      </w:r>
    </w:p>
  </w:footnote>
  <w:footnote w:id="2">
    <w:p w14:paraId="313E7C46" w14:textId="77777777" w:rsidR="00AA2C55" w:rsidRDefault="00AA2C55" w:rsidP="00D55665">
      <w:pPr>
        <w:pStyle w:val="Footnote"/>
      </w:pPr>
      <w:r>
        <w:rPr>
          <w:rStyle w:val="FootnoteReference"/>
        </w:rPr>
        <w:footnoteRef/>
      </w:r>
      <w:r w:rsidRPr="00D55665">
        <w:t>https://www.transit.dot.gov/sites/fta.dot.gov/files/ConditionAssessment_Guideway_PerformanceRestriction_Guidebooks.pdf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E2F5" w14:textId="77777777" w:rsidR="00AA2C55" w:rsidRDefault="00D57929">
    <w:pPr>
      <w:pStyle w:val="Header"/>
    </w:pPr>
    <w:r>
      <w:rPr>
        <w:noProof/>
      </w:rPr>
      <w:pict w14:anchorId="6BEA1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004704" o:spid="_x0000_s2050" type="#_x0000_t75" style="position:absolute;margin-left:0;margin-top:0;width:612pt;height:11in;z-index:-251657216;mso-position-horizontal:center;mso-position-horizontal-relative:margin;mso-position-vertical:center;mso-position-vertical-relative:margin" o:allowincell="f">
          <v:imagedata r:id="rId1" o:title="BMT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A28D" w14:textId="77777777" w:rsidR="00AA2C55" w:rsidRDefault="00D57929">
    <w:pPr>
      <w:pStyle w:val="Header"/>
    </w:pPr>
    <w:r>
      <w:rPr>
        <w:noProof/>
      </w:rPr>
      <w:pict w14:anchorId="0D9B8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004705" o:spid="_x0000_s2051" type="#_x0000_t75" style="position:absolute;margin-left:-1in;margin-top:-36pt;width:612pt;height:11in;z-index:-251656192;mso-position-horizontal-relative:margin;mso-position-vertical-relative:text" o:allowincell="f">
          <v:imagedata r:id="rId1" o:title="BMT BG"/>
          <w10:wrap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616A8" w14:textId="77777777" w:rsidR="00AA2C55" w:rsidRDefault="00D57929">
    <w:pPr>
      <w:pStyle w:val="Header"/>
    </w:pPr>
    <w:r>
      <w:rPr>
        <w:noProof/>
      </w:rPr>
      <w:pict w14:anchorId="22593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0312" o:spid="_x0000_s2063" type="#_x0000_t75" style="position:absolute;margin-left:-1in;margin-top:-36pt;width:612pt;height:11in;z-index:-251655168;mso-position-horizontal-relative:margin;mso-position-vertical-relative:text" o:allowincell="f">
          <v:imagedata r:id="rId1" o:title="BMT BG_Cover Pag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9E22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2355701"/>
    <w:multiLevelType w:val="multilevel"/>
    <w:tmpl w:val="827C43A4"/>
    <w:numStyleLink w:val="Bullets"/>
  </w:abstractNum>
  <w:abstractNum w:abstractNumId="2" w15:restartNumberingAfterBreak="0">
    <w:nsid w:val="5CEA3C80"/>
    <w:multiLevelType w:val="multilevel"/>
    <w:tmpl w:val="9AD8C1B0"/>
    <w:lvl w:ilvl="0">
      <w:start w:val="1"/>
      <w:numFmt w:val="bullet"/>
      <w:pStyle w:val="ListBullets"/>
      <w:lvlText w:val=""/>
      <w:lvlJc w:val="left"/>
      <w:pPr>
        <w:ind w:left="360" w:hanging="360"/>
      </w:pPr>
      <w:rPr>
        <w:rFonts w:ascii="Symbol" w:hAnsi="Symbol" w:hint="default"/>
        <w:color w:val="00A64F" w:themeColor="accent1"/>
        <w:sz w:val="18"/>
      </w:rPr>
    </w:lvl>
    <w:lvl w:ilvl="1">
      <w:start w:val="1"/>
      <w:numFmt w:val="bullet"/>
      <w:lvlText w:val="o"/>
      <w:lvlJc w:val="left"/>
      <w:pPr>
        <w:ind w:left="720" w:hanging="360"/>
      </w:pPr>
      <w:rPr>
        <w:rFonts w:ascii="Courier New" w:hAnsi="Courier New" w:hint="default"/>
        <w:color w:val="00A64F" w:themeColor="accent1"/>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7E17BB6"/>
    <w:multiLevelType w:val="multilevel"/>
    <w:tmpl w:val="9AD8C1B0"/>
    <w:lvl w:ilvl="0">
      <w:start w:val="1"/>
      <w:numFmt w:val="bullet"/>
      <w:lvlText w:val=""/>
      <w:lvlJc w:val="left"/>
      <w:pPr>
        <w:ind w:left="360" w:hanging="360"/>
      </w:pPr>
      <w:rPr>
        <w:rFonts w:ascii="Symbol" w:hAnsi="Symbol" w:hint="default"/>
        <w:color w:val="00A64F" w:themeColor="accent1"/>
        <w:sz w:val="18"/>
      </w:rPr>
    </w:lvl>
    <w:lvl w:ilvl="1">
      <w:start w:val="1"/>
      <w:numFmt w:val="bullet"/>
      <w:lvlText w:val="o"/>
      <w:lvlJc w:val="left"/>
      <w:pPr>
        <w:ind w:left="720" w:hanging="360"/>
      </w:pPr>
      <w:rPr>
        <w:rFonts w:ascii="Courier New" w:hAnsi="Courier New" w:hint="default"/>
        <w:color w:val="00A64F" w:themeColor="accent1"/>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1F29F5"/>
    <w:multiLevelType w:val="multilevel"/>
    <w:tmpl w:val="827C43A4"/>
    <w:styleLink w:val="Bullets"/>
    <w:lvl w:ilvl="0">
      <w:start w:val="1"/>
      <w:numFmt w:val="bullet"/>
      <w:lvlText w:val=""/>
      <w:lvlJc w:val="left"/>
      <w:pPr>
        <w:ind w:left="360" w:hanging="360"/>
      </w:pPr>
      <w:rPr>
        <w:rFonts w:ascii="Symbol" w:hAnsi="Symbol" w:hint="default"/>
        <w:color w:val="00A64F" w:themeColor="accent1"/>
        <w:sz w:val="20"/>
      </w:rPr>
    </w:lvl>
    <w:lvl w:ilvl="1">
      <w:start w:val="1"/>
      <w:numFmt w:val="bullet"/>
      <w:lvlText w:val="o"/>
      <w:lvlJc w:val="left"/>
      <w:pPr>
        <w:ind w:left="720" w:hanging="360"/>
      </w:pPr>
      <w:rPr>
        <w:rFonts w:ascii="Courier New" w:hAnsi="Courier New" w:hint="default"/>
        <w:color w:val="00A64F" w:themeColor="accent1"/>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2"/>
    <w:lvlOverride w:ilvl="0">
      <w:lvl w:ilvl="0">
        <w:start w:val="1"/>
        <w:numFmt w:val="bullet"/>
        <w:pStyle w:val="ListBullets"/>
        <w:lvlText w:val=""/>
        <w:lvlJc w:val="left"/>
        <w:pPr>
          <w:ind w:left="720" w:hanging="360"/>
        </w:pPr>
        <w:rPr>
          <w:rFonts w:ascii="Symbol" w:hAnsi="Symbol" w:hint="default"/>
          <w:color w:val="00A64F" w:themeColor="accent1"/>
          <w:sz w:val="18"/>
        </w:rPr>
      </w:lvl>
    </w:lvlOverride>
    <w:lvlOverride w:ilvl="1">
      <w:lvl w:ilvl="1">
        <w:start w:val="1"/>
        <w:numFmt w:val="bullet"/>
        <w:lvlText w:val="o"/>
        <w:lvlJc w:val="left"/>
        <w:pPr>
          <w:ind w:left="1440" w:hanging="360"/>
        </w:pPr>
        <w:rPr>
          <w:rFonts w:ascii="Courier New" w:hAnsi="Courier New" w:hint="default"/>
          <w:color w:val="00A64F" w:themeColor="accent1"/>
        </w:rPr>
      </w:lvl>
    </w:lvlOverride>
    <w:lvlOverride w:ilvl="2">
      <w:lvl w:ilvl="2">
        <w:start w:val="1"/>
        <w:numFmt w:val="bullet"/>
        <w:lvlText w:val=""/>
        <w:lvlJc w:val="left"/>
        <w:pPr>
          <w:ind w:left="2160" w:hanging="360"/>
        </w:pPr>
        <w:rPr>
          <w:rFonts w:ascii="Symbol" w:hAnsi="Symbol" w:hint="default"/>
          <w:color w:val="auto"/>
        </w:rPr>
      </w:lvl>
    </w:lvlOverride>
    <w:lvlOverride w:ilvl="3">
      <w:lvl w:ilvl="3">
        <w:start w:val="1"/>
        <w:numFmt w:val="bullet"/>
        <w:lvlText w:val="o"/>
        <w:lvlJc w:val="left"/>
        <w:pPr>
          <w:ind w:left="2880" w:hanging="360"/>
        </w:pPr>
        <w:rPr>
          <w:rFonts w:ascii="Courier New" w:hAnsi="Courier New" w:hint="default"/>
          <w:color w:val="auto"/>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4320" w:hanging="36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left"/>
        <w:pPr>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efaultTableStyle w:val="Style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E0"/>
    <w:rsid w:val="00006B5A"/>
    <w:rsid w:val="00060458"/>
    <w:rsid w:val="0007681A"/>
    <w:rsid w:val="000A1A42"/>
    <w:rsid w:val="000E7222"/>
    <w:rsid w:val="00112DBA"/>
    <w:rsid w:val="001B1A8C"/>
    <w:rsid w:val="001B3D09"/>
    <w:rsid w:val="001B49F7"/>
    <w:rsid w:val="00266F9A"/>
    <w:rsid w:val="002742A4"/>
    <w:rsid w:val="002D3C54"/>
    <w:rsid w:val="002F5B60"/>
    <w:rsid w:val="003078EE"/>
    <w:rsid w:val="003549DD"/>
    <w:rsid w:val="003E0188"/>
    <w:rsid w:val="003F12DA"/>
    <w:rsid w:val="004115D5"/>
    <w:rsid w:val="0043675B"/>
    <w:rsid w:val="00476458"/>
    <w:rsid w:val="005D2C3E"/>
    <w:rsid w:val="00611E7B"/>
    <w:rsid w:val="006154E5"/>
    <w:rsid w:val="006243B0"/>
    <w:rsid w:val="0065765D"/>
    <w:rsid w:val="0066042F"/>
    <w:rsid w:val="006B7BCE"/>
    <w:rsid w:val="006C7E92"/>
    <w:rsid w:val="006D063A"/>
    <w:rsid w:val="006E162B"/>
    <w:rsid w:val="00701A6A"/>
    <w:rsid w:val="00721D9A"/>
    <w:rsid w:val="007F5823"/>
    <w:rsid w:val="008125FB"/>
    <w:rsid w:val="00826A93"/>
    <w:rsid w:val="00862B95"/>
    <w:rsid w:val="008822E3"/>
    <w:rsid w:val="00924244"/>
    <w:rsid w:val="0099661C"/>
    <w:rsid w:val="009B531E"/>
    <w:rsid w:val="009D096B"/>
    <w:rsid w:val="009E217C"/>
    <w:rsid w:val="00A03F7F"/>
    <w:rsid w:val="00AA2C55"/>
    <w:rsid w:val="00AC110C"/>
    <w:rsid w:val="00B239F7"/>
    <w:rsid w:val="00B412C7"/>
    <w:rsid w:val="00BA65F0"/>
    <w:rsid w:val="00BE4F08"/>
    <w:rsid w:val="00C73071"/>
    <w:rsid w:val="00CE74B3"/>
    <w:rsid w:val="00D109EA"/>
    <w:rsid w:val="00D15896"/>
    <w:rsid w:val="00D55665"/>
    <w:rsid w:val="00D57929"/>
    <w:rsid w:val="00D66330"/>
    <w:rsid w:val="00D875A0"/>
    <w:rsid w:val="00D87F81"/>
    <w:rsid w:val="00E007E0"/>
    <w:rsid w:val="00E319BA"/>
    <w:rsid w:val="00E33D2A"/>
    <w:rsid w:val="00E66572"/>
    <w:rsid w:val="00F217DF"/>
    <w:rsid w:val="00F246AB"/>
    <w:rsid w:val="00FE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F8562A0"/>
  <w15:chartTrackingRefBased/>
  <w15:docId w15:val="{772FC668-4B74-4E32-AFE1-6DE340EA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7E0"/>
  </w:style>
  <w:style w:type="paragraph" w:styleId="Heading1">
    <w:name w:val="heading 1"/>
    <w:basedOn w:val="Normal"/>
    <w:next w:val="Normal"/>
    <w:link w:val="Heading1Char"/>
    <w:uiPriority w:val="9"/>
    <w:qFormat/>
    <w:rsid w:val="004115D5"/>
    <w:pPr>
      <w:pBdr>
        <w:top w:val="single" w:sz="24" w:space="0" w:color="00A64F" w:themeColor="accent1"/>
        <w:left w:val="single" w:sz="24" w:space="0" w:color="00A64F" w:themeColor="accent1"/>
        <w:bottom w:val="single" w:sz="24" w:space="0" w:color="00A64F" w:themeColor="accent1"/>
        <w:right w:val="single" w:sz="24" w:space="0" w:color="00A64F" w:themeColor="accent1"/>
      </w:pBdr>
      <w:shd w:val="clear" w:color="auto" w:fill="00A64F" w:themeFill="accent1"/>
      <w:spacing w:after="0"/>
      <w:outlineLvl w:val="0"/>
    </w:pPr>
    <w:rPr>
      <w:rFonts w:asciiTheme="majorHAnsi" w:hAnsiTheme="majorHAnsi"/>
      <w:b/>
      <w:caps/>
      <w:color w:val="FFFFFF" w:themeColor="background1"/>
      <w:spacing w:val="15"/>
      <w:sz w:val="22"/>
      <w:szCs w:val="22"/>
    </w:rPr>
  </w:style>
  <w:style w:type="paragraph" w:styleId="Heading2">
    <w:name w:val="heading 2"/>
    <w:basedOn w:val="Normal"/>
    <w:next w:val="Normal"/>
    <w:link w:val="Heading2Char"/>
    <w:uiPriority w:val="9"/>
    <w:unhideWhenUsed/>
    <w:qFormat/>
    <w:rsid w:val="004115D5"/>
    <w:pPr>
      <w:pBdr>
        <w:top w:val="single" w:sz="24" w:space="0" w:color="E1DFE9" w:themeColor="accent6" w:themeTint="33"/>
        <w:left w:val="single" w:sz="24" w:space="0" w:color="E1DFE9" w:themeColor="accent6" w:themeTint="33"/>
        <w:bottom w:val="single" w:sz="24" w:space="0" w:color="E1DFE9" w:themeColor="accent6" w:themeTint="33"/>
        <w:right w:val="single" w:sz="24" w:space="0" w:color="E1DFE9" w:themeColor="accent6" w:themeTint="33"/>
      </w:pBdr>
      <w:shd w:val="clear" w:color="auto" w:fill="E1DFE9" w:themeFill="accent6" w:themeFillTint="33"/>
      <w:spacing w:after="0"/>
      <w:outlineLvl w:val="1"/>
    </w:pPr>
    <w:rPr>
      <w:caps/>
      <w:spacing w:val="15"/>
    </w:rPr>
  </w:style>
  <w:style w:type="paragraph" w:styleId="Heading3">
    <w:name w:val="heading 3"/>
    <w:basedOn w:val="Normal"/>
    <w:next w:val="Normal"/>
    <w:link w:val="Heading3Char"/>
    <w:uiPriority w:val="9"/>
    <w:unhideWhenUsed/>
    <w:qFormat/>
    <w:rsid w:val="004115D5"/>
    <w:pPr>
      <w:pBdr>
        <w:top w:val="single" w:sz="6" w:space="2" w:color="00A64F" w:themeColor="accent1"/>
      </w:pBdr>
      <w:spacing w:before="300" w:after="0"/>
      <w:outlineLvl w:val="2"/>
    </w:pPr>
    <w:rPr>
      <w:b/>
      <w:caps/>
      <w:color w:val="005227" w:themeColor="accent1" w:themeShade="7F"/>
      <w:spacing w:val="15"/>
    </w:rPr>
  </w:style>
  <w:style w:type="paragraph" w:styleId="Heading4">
    <w:name w:val="heading 4"/>
    <w:basedOn w:val="Normal"/>
    <w:next w:val="Normal"/>
    <w:link w:val="Heading4Char"/>
    <w:uiPriority w:val="9"/>
    <w:unhideWhenUsed/>
    <w:qFormat/>
    <w:rsid w:val="004115D5"/>
    <w:pPr>
      <w:pBdr>
        <w:top w:val="dotted" w:sz="6" w:space="2" w:color="00A64F" w:themeColor="accent1"/>
      </w:pBdr>
      <w:spacing w:before="200" w:after="0"/>
      <w:outlineLvl w:val="3"/>
    </w:pPr>
    <w:rPr>
      <w:b/>
      <w:caps/>
      <w:color w:val="007C3A" w:themeColor="accent1" w:themeShade="BF"/>
      <w:spacing w:val="10"/>
    </w:rPr>
  </w:style>
  <w:style w:type="paragraph" w:styleId="Heading5">
    <w:name w:val="heading 5"/>
    <w:basedOn w:val="Normal"/>
    <w:next w:val="Normal"/>
    <w:link w:val="Heading5Char"/>
    <w:uiPriority w:val="9"/>
    <w:unhideWhenUsed/>
    <w:qFormat/>
    <w:rsid w:val="0066042F"/>
    <w:pPr>
      <w:spacing w:before="200" w:after="0"/>
      <w:outlineLvl w:val="4"/>
    </w:pPr>
    <w:rPr>
      <w:b/>
      <w:i/>
      <w:color w:val="252158" w:themeColor="accent2"/>
      <w:spacing w:val="10"/>
    </w:rPr>
  </w:style>
  <w:style w:type="paragraph" w:styleId="Heading6">
    <w:name w:val="heading 6"/>
    <w:basedOn w:val="Normal"/>
    <w:next w:val="Normal"/>
    <w:link w:val="Heading6Char"/>
    <w:uiPriority w:val="9"/>
    <w:unhideWhenUsed/>
    <w:qFormat/>
    <w:rsid w:val="006C7E92"/>
    <w:pPr>
      <w:spacing w:before="200" w:after="0"/>
      <w:outlineLvl w:val="5"/>
    </w:pPr>
    <w:rPr>
      <w:i/>
      <w:color w:val="6C658F" w:themeColor="accent6"/>
    </w:rPr>
  </w:style>
  <w:style w:type="paragraph" w:styleId="Heading7">
    <w:name w:val="heading 7"/>
    <w:basedOn w:val="Normal"/>
    <w:next w:val="Normal"/>
    <w:link w:val="Heading7Char"/>
    <w:uiPriority w:val="9"/>
    <w:semiHidden/>
    <w:unhideWhenUsed/>
    <w:qFormat/>
    <w:rsid w:val="00E007E0"/>
    <w:pPr>
      <w:spacing w:before="200" w:after="0"/>
      <w:outlineLvl w:val="6"/>
    </w:pPr>
    <w:rPr>
      <w:caps/>
      <w:color w:val="007C3A" w:themeColor="accent1" w:themeShade="BF"/>
      <w:spacing w:val="10"/>
    </w:rPr>
  </w:style>
  <w:style w:type="paragraph" w:styleId="Heading8">
    <w:name w:val="heading 8"/>
    <w:basedOn w:val="Normal"/>
    <w:next w:val="Normal"/>
    <w:link w:val="Heading8Char"/>
    <w:uiPriority w:val="9"/>
    <w:semiHidden/>
    <w:unhideWhenUsed/>
    <w:qFormat/>
    <w:rsid w:val="00E007E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007E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01A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shd w:val="clear" w:color="auto" w:fill="00A4E4"/>
    </w:tcPr>
    <w:tblStylePr w:type="firstRow">
      <w:rPr>
        <w:b/>
        <w:color w:val="FFFFFF" w:themeColor="background1"/>
      </w:rPr>
      <w:tblPr/>
      <w:tcPr>
        <w:shd w:val="clear" w:color="auto" w:fill="00A4E4"/>
      </w:tcPr>
    </w:tblStylePr>
    <w:tblStylePr w:type="band1Horz">
      <w:tblPr/>
      <w:tcPr>
        <w:shd w:val="clear" w:color="auto" w:fill="FFFFFF" w:themeFill="background1"/>
      </w:tcPr>
    </w:tblStylePr>
    <w:tblStylePr w:type="band2Horz">
      <w:tblPr/>
      <w:tcPr>
        <w:shd w:val="clear" w:color="auto" w:fill="E6F5F6"/>
      </w:tcPr>
    </w:tblStylePr>
  </w:style>
  <w:style w:type="character" w:customStyle="1" w:styleId="Heading1Char">
    <w:name w:val="Heading 1 Char"/>
    <w:basedOn w:val="DefaultParagraphFont"/>
    <w:link w:val="Heading1"/>
    <w:uiPriority w:val="9"/>
    <w:rsid w:val="004115D5"/>
    <w:rPr>
      <w:rFonts w:asciiTheme="majorHAnsi" w:hAnsiTheme="majorHAnsi"/>
      <w:b/>
      <w:caps/>
      <w:color w:val="FFFFFF" w:themeColor="background1"/>
      <w:spacing w:val="15"/>
      <w:sz w:val="22"/>
      <w:szCs w:val="22"/>
      <w:shd w:val="clear" w:color="auto" w:fill="00A64F" w:themeFill="accent1"/>
    </w:rPr>
  </w:style>
  <w:style w:type="character" w:customStyle="1" w:styleId="Heading2Char">
    <w:name w:val="Heading 2 Char"/>
    <w:basedOn w:val="DefaultParagraphFont"/>
    <w:link w:val="Heading2"/>
    <w:uiPriority w:val="9"/>
    <w:rsid w:val="004115D5"/>
    <w:rPr>
      <w:caps/>
      <w:spacing w:val="15"/>
      <w:shd w:val="clear" w:color="auto" w:fill="E1DFE9" w:themeFill="accent6" w:themeFillTint="33"/>
    </w:rPr>
  </w:style>
  <w:style w:type="character" w:customStyle="1" w:styleId="Heading3Char">
    <w:name w:val="Heading 3 Char"/>
    <w:basedOn w:val="DefaultParagraphFont"/>
    <w:link w:val="Heading3"/>
    <w:uiPriority w:val="9"/>
    <w:rsid w:val="004115D5"/>
    <w:rPr>
      <w:b/>
      <w:caps/>
      <w:color w:val="005227" w:themeColor="accent1" w:themeShade="7F"/>
      <w:spacing w:val="15"/>
    </w:rPr>
  </w:style>
  <w:style w:type="character" w:customStyle="1" w:styleId="Heading4Char">
    <w:name w:val="Heading 4 Char"/>
    <w:basedOn w:val="DefaultParagraphFont"/>
    <w:link w:val="Heading4"/>
    <w:uiPriority w:val="9"/>
    <w:rsid w:val="004115D5"/>
    <w:rPr>
      <w:b/>
      <w:caps/>
      <w:color w:val="007C3A" w:themeColor="accent1" w:themeShade="BF"/>
      <w:spacing w:val="10"/>
    </w:rPr>
  </w:style>
  <w:style w:type="character" w:customStyle="1" w:styleId="Heading5Char">
    <w:name w:val="Heading 5 Char"/>
    <w:basedOn w:val="DefaultParagraphFont"/>
    <w:link w:val="Heading5"/>
    <w:uiPriority w:val="9"/>
    <w:rsid w:val="0066042F"/>
    <w:rPr>
      <w:b/>
      <w:i/>
      <w:color w:val="252158" w:themeColor="accent2"/>
      <w:spacing w:val="10"/>
    </w:rPr>
  </w:style>
  <w:style w:type="character" w:customStyle="1" w:styleId="Heading6Char">
    <w:name w:val="Heading 6 Char"/>
    <w:basedOn w:val="DefaultParagraphFont"/>
    <w:link w:val="Heading6"/>
    <w:uiPriority w:val="9"/>
    <w:rsid w:val="006C7E92"/>
    <w:rPr>
      <w:i/>
      <w:color w:val="6C658F" w:themeColor="accent6"/>
    </w:rPr>
  </w:style>
  <w:style w:type="character" w:customStyle="1" w:styleId="Heading7Char">
    <w:name w:val="Heading 7 Char"/>
    <w:basedOn w:val="DefaultParagraphFont"/>
    <w:link w:val="Heading7"/>
    <w:uiPriority w:val="9"/>
    <w:semiHidden/>
    <w:rsid w:val="00E007E0"/>
    <w:rPr>
      <w:caps/>
      <w:color w:val="007C3A" w:themeColor="accent1" w:themeShade="BF"/>
      <w:spacing w:val="10"/>
    </w:rPr>
  </w:style>
  <w:style w:type="character" w:customStyle="1" w:styleId="Heading8Char">
    <w:name w:val="Heading 8 Char"/>
    <w:basedOn w:val="DefaultParagraphFont"/>
    <w:link w:val="Heading8"/>
    <w:uiPriority w:val="9"/>
    <w:semiHidden/>
    <w:rsid w:val="00E007E0"/>
    <w:rPr>
      <w:caps/>
      <w:spacing w:val="10"/>
      <w:sz w:val="18"/>
      <w:szCs w:val="18"/>
    </w:rPr>
  </w:style>
  <w:style w:type="character" w:customStyle="1" w:styleId="Heading9Char">
    <w:name w:val="Heading 9 Char"/>
    <w:basedOn w:val="DefaultParagraphFont"/>
    <w:link w:val="Heading9"/>
    <w:uiPriority w:val="9"/>
    <w:semiHidden/>
    <w:rsid w:val="00E007E0"/>
    <w:rPr>
      <w:i/>
      <w:iCs/>
      <w:caps/>
      <w:spacing w:val="10"/>
      <w:sz w:val="18"/>
      <w:szCs w:val="18"/>
    </w:rPr>
  </w:style>
  <w:style w:type="paragraph" w:styleId="Caption">
    <w:name w:val="caption"/>
    <w:basedOn w:val="Normal"/>
    <w:next w:val="Normal"/>
    <w:uiPriority w:val="35"/>
    <w:semiHidden/>
    <w:unhideWhenUsed/>
    <w:qFormat/>
    <w:rsid w:val="00E007E0"/>
    <w:rPr>
      <w:b/>
      <w:bCs/>
      <w:color w:val="007C3A" w:themeColor="accent1" w:themeShade="BF"/>
      <w:sz w:val="16"/>
      <w:szCs w:val="16"/>
    </w:rPr>
  </w:style>
  <w:style w:type="paragraph" w:styleId="Title">
    <w:name w:val="Title"/>
    <w:basedOn w:val="Normal"/>
    <w:next w:val="Normal"/>
    <w:link w:val="TitleChar"/>
    <w:uiPriority w:val="10"/>
    <w:qFormat/>
    <w:rsid w:val="00E007E0"/>
    <w:pPr>
      <w:spacing w:before="0" w:after="0"/>
    </w:pPr>
    <w:rPr>
      <w:rFonts w:asciiTheme="majorHAnsi" w:eastAsiaTheme="majorEastAsia" w:hAnsiTheme="majorHAnsi" w:cstheme="majorBidi"/>
      <w:caps/>
      <w:color w:val="00A64F" w:themeColor="accent1"/>
      <w:spacing w:val="10"/>
      <w:sz w:val="52"/>
      <w:szCs w:val="52"/>
    </w:rPr>
  </w:style>
  <w:style w:type="character" w:customStyle="1" w:styleId="TitleChar">
    <w:name w:val="Title Char"/>
    <w:basedOn w:val="DefaultParagraphFont"/>
    <w:link w:val="Title"/>
    <w:uiPriority w:val="10"/>
    <w:rsid w:val="00E007E0"/>
    <w:rPr>
      <w:rFonts w:asciiTheme="majorHAnsi" w:eastAsiaTheme="majorEastAsia" w:hAnsiTheme="majorHAnsi" w:cstheme="majorBidi"/>
      <w:caps/>
      <w:color w:val="00A64F" w:themeColor="accent1"/>
      <w:spacing w:val="10"/>
      <w:sz w:val="52"/>
      <w:szCs w:val="52"/>
    </w:rPr>
  </w:style>
  <w:style w:type="paragraph" w:styleId="Subtitle">
    <w:name w:val="Subtitle"/>
    <w:basedOn w:val="Normal"/>
    <w:next w:val="Normal"/>
    <w:link w:val="SubtitleChar"/>
    <w:uiPriority w:val="11"/>
    <w:qFormat/>
    <w:rsid w:val="00E007E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007E0"/>
    <w:rPr>
      <w:caps/>
      <w:color w:val="595959" w:themeColor="text1" w:themeTint="A6"/>
      <w:spacing w:val="10"/>
      <w:sz w:val="21"/>
      <w:szCs w:val="21"/>
    </w:rPr>
  </w:style>
  <w:style w:type="character" w:styleId="Strong">
    <w:name w:val="Strong"/>
    <w:uiPriority w:val="22"/>
    <w:qFormat/>
    <w:rsid w:val="00E007E0"/>
    <w:rPr>
      <w:b/>
      <w:bCs/>
    </w:rPr>
  </w:style>
  <w:style w:type="character" w:styleId="Emphasis">
    <w:name w:val="Emphasis"/>
    <w:uiPriority w:val="20"/>
    <w:qFormat/>
    <w:rsid w:val="00E007E0"/>
    <w:rPr>
      <w:caps/>
      <w:color w:val="005227" w:themeColor="accent1" w:themeShade="7F"/>
      <w:spacing w:val="5"/>
    </w:rPr>
  </w:style>
  <w:style w:type="paragraph" w:styleId="NoSpacing">
    <w:name w:val="No Spacing"/>
    <w:link w:val="NoSpacingChar"/>
    <w:uiPriority w:val="1"/>
    <w:qFormat/>
    <w:rsid w:val="00E007E0"/>
    <w:pPr>
      <w:spacing w:after="0" w:line="240" w:lineRule="auto"/>
    </w:pPr>
  </w:style>
  <w:style w:type="paragraph" w:styleId="Quote">
    <w:name w:val="Quote"/>
    <w:basedOn w:val="Normal"/>
    <w:next w:val="Normal"/>
    <w:link w:val="QuoteChar"/>
    <w:uiPriority w:val="29"/>
    <w:qFormat/>
    <w:rsid w:val="00E007E0"/>
    <w:rPr>
      <w:i/>
      <w:iCs/>
      <w:sz w:val="24"/>
      <w:szCs w:val="24"/>
    </w:rPr>
  </w:style>
  <w:style w:type="character" w:customStyle="1" w:styleId="QuoteChar">
    <w:name w:val="Quote Char"/>
    <w:basedOn w:val="DefaultParagraphFont"/>
    <w:link w:val="Quote"/>
    <w:uiPriority w:val="29"/>
    <w:rsid w:val="00E007E0"/>
    <w:rPr>
      <w:i/>
      <w:iCs/>
      <w:sz w:val="24"/>
      <w:szCs w:val="24"/>
    </w:rPr>
  </w:style>
  <w:style w:type="paragraph" w:styleId="IntenseQuote">
    <w:name w:val="Intense Quote"/>
    <w:basedOn w:val="Normal"/>
    <w:next w:val="Normal"/>
    <w:link w:val="IntenseQuoteChar"/>
    <w:uiPriority w:val="30"/>
    <w:qFormat/>
    <w:rsid w:val="00E007E0"/>
    <w:pPr>
      <w:spacing w:before="240" w:after="240" w:line="240" w:lineRule="auto"/>
      <w:ind w:left="1080" w:right="1080"/>
      <w:jc w:val="center"/>
    </w:pPr>
    <w:rPr>
      <w:color w:val="00A64F" w:themeColor="accent1"/>
      <w:sz w:val="24"/>
      <w:szCs w:val="24"/>
    </w:rPr>
  </w:style>
  <w:style w:type="character" w:customStyle="1" w:styleId="IntenseQuoteChar">
    <w:name w:val="Intense Quote Char"/>
    <w:basedOn w:val="DefaultParagraphFont"/>
    <w:link w:val="IntenseQuote"/>
    <w:uiPriority w:val="30"/>
    <w:rsid w:val="00E007E0"/>
    <w:rPr>
      <w:color w:val="00A64F" w:themeColor="accent1"/>
      <w:sz w:val="24"/>
      <w:szCs w:val="24"/>
    </w:rPr>
  </w:style>
  <w:style w:type="character" w:styleId="SubtleEmphasis">
    <w:name w:val="Subtle Emphasis"/>
    <w:uiPriority w:val="19"/>
    <w:qFormat/>
    <w:rsid w:val="00E007E0"/>
    <w:rPr>
      <w:i/>
      <w:iCs/>
      <w:color w:val="005227" w:themeColor="accent1" w:themeShade="7F"/>
    </w:rPr>
  </w:style>
  <w:style w:type="character" w:styleId="IntenseEmphasis">
    <w:name w:val="Intense Emphasis"/>
    <w:uiPriority w:val="21"/>
    <w:qFormat/>
    <w:rsid w:val="00E007E0"/>
    <w:rPr>
      <w:b/>
      <w:bCs/>
      <w:caps/>
      <w:color w:val="005227" w:themeColor="accent1" w:themeShade="7F"/>
      <w:spacing w:val="10"/>
    </w:rPr>
  </w:style>
  <w:style w:type="character" w:styleId="SubtleReference">
    <w:name w:val="Subtle Reference"/>
    <w:uiPriority w:val="31"/>
    <w:qFormat/>
    <w:rsid w:val="00E007E0"/>
    <w:rPr>
      <w:b/>
      <w:bCs/>
      <w:color w:val="00A64F" w:themeColor="accent1"/>
    </w:rPr>
  </w:style>
  <w:style w:type="character" w:styleId="IntenseReference">
    <w:name w:val="Intense Reference"/>
    <w:uiPriority w:val="32"/>
    <w:qFormat/>
    <w:rsid w:val="00E007E0"/>
    <w:rPr>
      <w:b/>
      <w:bCs/>
      <w:i/>
      <w:iCs/>
      <w:caps/>
      <w:color w:val="00A64F" w:themeColor="accent1"/>
    </w:rPr>
  </w:style>
  <w:style w:type="character" w:styleId="BookTitle">
    <w:name w:val="Book Title"/>
    <w:uiPriority w:val="33"/>
    <w:qFormat/>
    <w:rsid w:val="00E007E0"/>
    <w:rPr>
      <w:b/>
      <w:bCs/>
      <w:i/>
      <w:iCs/>
      <w:spacing w:val="0"/>
    </w:rPr>
  </w:style>
  <w:style w:type="paragraph" w:styleId="TOCHeading">
    <w:name w:val="TOC Heading"/>
    <w:basedOn w:val="Heading1"/>
    <w:next w:val="Normal"/>
    <w:uiPriority w:val="39"/>
    <w:semiHidden/>
    <w:unhideWhenUsed/>
    <w:qFormat/>
    <w:rsid w:val="00E007E0"/>
    <w:pPr>
      <w:outlineLvl w:val="9"/>
    </w:pPr>
  </w:style>
  <w:style w:type="paragraph" w:styleId="Header">
    <w:name w:val="header"/>
    <w:basedOn w:val="Normal"/>
    <w:link w:val="HeaderChar"/>
    <w:uiPriority w:val="99"/>
    <w:unhideWhenUsed/>
    <w:rsid w:val="00E007E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007E0"/>
  </w:style>
  <w:style w:type="paragraph" w:styleId="Footer">
    <w:name w:val="footer"/>
    <w:basedOn w:val="Normal"/>
    <w:link w:val="FooterChar"/>
    <w:uiPriority w:val="99"/>
    <w:unhideWhenUsed/>
    <w:rsid w:val="00E007E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007E0"/>
  </w:style>
  <w:style w:type="table" w:styleId="TableGrid">
    <w:name w:val="Table Grid"/>
    <w:basedOn w:val="TableNormal"/>
    <w:uiPriority w:val="39"/>
    <w:rsid w:val="009E217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8822E3"/>
    <w:pPr>
      <w:numPr>
        <w:numId w:val="1"/>
      </w:numPr>
    </w:pPr>
  </w:style>
  <w:style w:type="paragraph" w:styleId="ListParagraph">
    <w:name w:val="List Paragraph"/>
    <w:basedOn w:val="Normal"/>
    <w:link w:val="ListParagraphChar"/>
    <w:uiPriority w:val="34"/>
    <w:qFormat/>
    <w:rsid w:val="008822E3"/>
    <w:pPr>
      <w:ind w:left="720"/>
      <w:contextualSpacing/>
    </w:pPr>
  </w:style>
  <w:style w:type="paragraph" w:customStyle="1" w:styleId="ListBullets">
    <w:name w:val="List Bullets"/>
    <w:basedOn w:val="ListBullet"/>
    <w:link w:val="ListBulletsChar"/>
    <w:qFormat/>
    <w:rsid w:val="00D875A0"/>
    <w:pPr>
      <w:numPr>
        <w:numId w:val="3"/>
      </w:numPr>
      <w:tabs>
        <w:tab w:val="left" w:pos="720"/>
      </w:tabs>
      <w:ind w:left="648"/>
    </w:pPr>
  </w:style>
  <w:style w:type="table" w:styleId="GridTable7Colorful-Accent5">
    <w:name w:val="Grid Table 7 Colorful Accent 5"/>
    <w:basedOn w:val="TableNormal"/>
    <w:uiPriority w:val="52"/>
    <w:rsid w:val="004115D5"/>
    <w:pPr>
      <w:spacing w:after="0" w:line="240" w:lineRule="auto"/>
    </w:pPr>
    <w:rPr>
      <w:color w:val="9385AE" w:themeColor="accent5" w:themeShade="BF"/>
    </w:rPr>
    <w:tblPr>
      <w:tblStyleRowBandSize w:val="1"/>
      <w:tblStyleColBandSize w:val="1"/>
      <w:tblBorders>
        <w:top w:val="single" w:sz="4" w:space="0" w:color="DFDBE7" w:themeColor="accent5" w:themeTint="99"/>
        <w:left w:val="single" w:sz="4" w:space="0" w:color="DFDBE7" w:themeColor="accent5" w:themeTint="99"/>
        <w:bottom w:val="single" w:sz="4" w:space="0" w:color="DFDBE7" w:themeColor="accent5" w:themeTint="99"/>
        <w:right w:val="single" w:sz="4" w:space="0" w:color="DFDBE7" w:themeColor="accent5" w:themeTint="99"/>
        <w:insideH w:val="single" w:sz="4" w:space="0" w:color="DFDBE7" w:themeColor="accent5" w:themeTint="99"/>
        <w:insideV w:val="single" w:sz="4" w:space="0" w:color="DFD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3F7" w:themeFill="accent5" w:themeFillTint="33"/>
      </w:tcPr>
    </w:tblStylePr>
    <w:tblStylePr w:type="band1Horz">
      <w:tblPr/>
      <w:tcPr>
        <w:shd w:val="clear" w:color="auto" w:fill="F4F3F7" w:themeFill="accent5" w:themeFillTint="33"/>
      </w:tcPr>
    </w:tblStylePr>
    <w:tblStylePr w:type="neCell">
      <w:tblPr/>
      <w:tcPr>
        <w:tcBorders>
          <w:bottom w:val="single" w:sz="4" w:space="0" w:color="DFDBE7" w:themeColor="accent5" w:themeTint="99"/>
        </w:tcBorders>
      </w:tcPr>
    </w:tblStylePr>
    <w:tblStylePr w:type="nwCell">
      <w:tblPr/>
      <w:tcPr>
        <w:tcBorders>
          <w:bottom w:val="single" w:sz="4" w:space="0" w:color="DFDBE7" w:themeColor="accent5" w:themeTint="99"/>
        </w:tcBorders>
      </w:tcPr>
    </w:tblStylePr>
    <w:tblStylePr w:type="seCell">
      <w:tblPr/>
      <w:tcPr>
        <w:tcBorders>
          <w:top w:val="single" w:sz="4" w:space="0" w:color="DFDBE7" w:themeColor="accent5" w:themeTint="99"/>
        </w:tcBorders>
      </w:tcPr>
    </w:tblStylePr>
    <w:tblStylePr w:type="swCell">
      <w:tblPr/>
      <w:tcPr>
        <w:tcBorders>
          <w:top w:val="single" w:sz="4" w:space="0" w:color="DFDBE7" w:themeColor="accent5" w:themeTint="99"/>
        </w:tcBorders>
      </w:tcPr>
    </w:tblStylePr>
  </w:style>
  <w:style w:type="character" w:customStyle="1" w:styleId="ListParagraphChar">
    <w:name w:val="List Paragraph Char"/>
    <w:basedOn w:val="DefaultParagraphFont"/>
    <w:link w:val="ListParagraph"/>
    <w:uiPriority w:val="34"/>
    <w:rsid w:val="008822E3"/>
  </w:style>
  <w:style w:type="character" w:customStyle="1" w:styleId="ListBulletsChar">
    <w:name w:val="List Bullets Char"/>
    <w:basedOn w:val="ListParagraphChar"/>
    <w:link w:val="ListBullets"/>
    <w:rsid w:val="00D875A0"/>
  </w:style>
  <w:style w:type="paragraph" w:styleId="ListBullet">
    <w:name w:val="List Bullet"/>
    <w:basedOn w:val="Normal"/>
    <w:uiPriority w:val="99"/>
    <w:semiHidden/>
    <w:unhideWhenUsed/>
    <w:rsid w:val="008822E3"/>
    <w:pPr>
      <w:numPr>
        <w:numId w:val="4"/>
      </w:numPr>
      <w:contextualSpacing/>
    </w:pPr>
  </w:style>
  <w:style w:type="table" w:customStyle="1" w:styleId="Style2">
    <w:name w:val="Style2"/>
    <w:basedOn w:val="GridTable7Colorful-Accent5"/>
    <w:uiPriority w:val="99"/>
    <w:rsid w:val="0043675B"/>
    <w:pPr>
      <w:spacing w:before="0"/>
      <w:jc w:val="center"/>
    </w:pPr>
    <w:rPr>
      <w:color w:val="auto"/>
    </w:rPr>
    <w:tblPr>
      <w:tblCellMar>
        <w:top w:w="43" w:type="dxa"/>
        <w:left w:w="43" w:type="dxa"/>
        <w:bottom w:w="43" w:type="dxa"/>
        <w:right w:w="43" w:type="dxa"/>
      </w:tblCellMar>
    </w:tblPr>
    <w:tcPr>
      <w:vAlign w:val="center"/>
    </w:tcPr>
    <w:tblStylePr w:type="firstRow">
      <w:rPr>
        <w:b/>
        <w:bCs/>
      </w:rPr>
      <w:tblPr/>
      <w:tcPr>
        <w:tcBorders>
          <w:top w:val="single" w:sz="4" w:space="0" w:color="E1DFE9" w:themeColor="accent6" w:themeTint="33"/>
          <w:left w:val="nil"/>
          <w:right w:val="nil"/>
          <w:insideH w:val="nil"/>
          <w:insideV w:val="single" w:sz="4" w:space="0" w:color="E1DFE9" w:themeColor="accent6" w:themeTint="33"/>
        </w:tcBorders>
        <w:shd w:val="clear" w:color="auto" w:fill="FFFFFF" w:themeFill="background1"/>
      </w:tcPr>
    </w:tblStylePr>
    <w:tblStylePr w:type="lastRow">
      <w:rPr>
        <w:b/>
        <w:bCs/>
      </w:rPr>
      <w:tblPr/>
      <w:tcPr>
        <w:tcBorders>
          <w:left w:val="nil"/>
          <w:bottom w:val="single" w:sz="4" w:space="0" w:color="E1DFE9" w:themeColor="accent6" w:themeTint="33"/>
          <w:right w:val="nil"/>
          <w:insideH w:val="nil"/>
          <w:insideV w:val="nil"/>
        </w:tcBorders>
        <w:shd w:val="clear" w:color="auto" w:fill="FFFFFF" w:themeFill="background1"/>
      </w:tcPr>
    </w:tblStylePr>
    <w:tblStylePr w:type="firstCol">
      <w:pPr>
        <w:jc w:val="center"/>
      </w:pPr>
      <w:rPr>
        <w:i w:val="0"/>
        <w:iCs/>
      </w:rPr>
      <w:tblPr/>
      <w:tcPr>
        <w:tcBorders>
          <w:top w:val="nil"/>
          <w:left w:val="nil"/>
          <w:bottom w:val="single" w:sz="4" w:space="0" w:color="E1DFE9" w:themeColor="accent6" w:themeTint="33"/>
          <w:right w:val="nil"/>
          <w:insideH w:val="single" w:sz="4" w:space="0" w:color="E1DFE9" w:themeColor="accent6" w:themeTint="33"/>
          <w:insideV w:val="nil"/>
        </w:tcBorders>
        <w:shd w:val="clear" w:color="auto" w:fill="FFFFFF" w:themeFill="background1"/>
      </w:tcPr>
    </w:tblStylePr>
    <w:tblStylePr w:type="lastCol">
      <w:rPr>
        <w:i/>
        <w:iCs/>
      </w:rPr>
      <w:tblPr/>
      <w:tcPr>
        <w:tcBorders>
          <w:top w:val="nil"/>
          <w:bottom w:val="nil"/>
          <w:right w:val="single" w:sz="4" w:space="0" w:color="E1DFE9" w:themeColor="accent6" w:themeTint="33"/>
          <w:insideH w:val="single" w:sz="4" w:space="0" w:color="E1DFE9" w:themeColor="accent6" w:themeTint="33"/>
          <w:insideV w:val="nil"/>
        </w:tcBorders>
        <w:shd w:val="clear" w:color="auto" w:fill="FFFFFF" w:themeFill="background1"/>
      </w:tcPr>
    </w:tblStylePr>
    <w:tblStylePr w:type="band1Vert">
      <w:tblPr/>
      <w:tcPr>
        <w:shd w:val="clear" w:color="auto" w:fill="F4F3F7" w:themeFill="accent5" w:themeFillTint="33"/>
      </w:tcPr>
    </w:tblStylePr>
    <w:tblStylePr w:type="band1Horz">
      <w:tblPr/>
      <w:tcPr>
        <w:tcBorders>
          <w:top w:val="nil"/>
          <w:bottom w:val="single" w:sz="2" w:space="0" w:color="E1DFE9" w:themeColor="accent6" w:themeTint="33"/>
        </w:tcBorders>
        <w:shd w:val="clear" w:color="auto" w:fill="F4F3F7" w:themeFill="accent5" w:themeFillTint="33"/>
      </w:tcPr>
    </w:tblStylePr>
    <w:tblStylePr w:type="band2Horz">
      <w:tblPr/>
      <w:tcPr>
        <w:tcBorders>
          <w:top w:val="single" w:sz="4" w:space="0" w:color="E1DFE9" w:themeColor="accent6" w:themeTint="33"/>
          <w:bottom w:val="single" w:sz="4" w:space="0" w:color="E1DFE9" w:themeColor="accent6" w:themeTint="33"/>
        </w:tcBorders>
      </w:tcPr>
    </w:tblStylePr>
    <w:tblStylePr w:type="neCell">
      <w:tblPr/>
      <w:tcPr>
        <w:tcBorders>
          <w:bottom w:val="single" w:sz="4" w:space="0" w:color="DFDBE7" w:themeColor="accent5" w:themeTint="99"/>
        </w:tcBorders>
      </w:tcPr>
    </w:tblStylePr>
    <w:tblStylePr w:type="nwCell">
      <w:tblPr/>
      <w:tcPr>
        <w:tcBorders>
          <w:bottom w:val="single" w:sz="4" w:space="0" w:color="DFDBE7" w:themeColor="accent5" w:themeTint="99"/>
        </w:tcBorders>
      </w:tcPr>
    </w:tblStylePr>
    <w:tblStylePr w:type="seCell">
      <w:tblPr/>
      <w:tcPr>
        <w:tcBorders>
          <w:top w:val="single" w:sz="4" w:space="0" w:color="DFDBE7" w:themeColor="accent5" w:themeTint="99"/>
        </w:tcBorders>
      </w:tcPr>
    </w:tblStylePr>
    <w:tblStylePr w:type="swCell">
      <w:tblPr/>
      <w:tcPr>
        <w:tcBorders>
          <w:top w:val="single" w:sz="4" w:space="0" w:color="DFDBE7" w:themeColor="accent5" w:themeTint="99"/>
        </w:tcBorders>
      </w:tcPr>
    </w:tblStylePr>
  </w:style>
  <w:style w:type="paragraph" w:styleId="FootnoteText">
    <w:name w:val="footnote text"/>
    <w:basedOn w:val="Normal"/>
    <w:link w:val="FootnoteTextChar"/>
    <w:uiPriority w:val="99"/>
    <w:semiHidden/>
    <w:unhideWhenUsed/>
    <w:rsid w:val="00D55665"/>
    <w:pPr>
      <w:spacing w:before="0" w:after="0" w:line="240" w:lineRule="auto"/>
    </w:pPr>
  </w:style>
  <w:style w:type="character" w:customStyle="1" w:styleId="FootnoteTextChar">
    <w:name w:val="Footnote Text Char"/>
    <w:basedOn w:val="DefaultParagraphFont"/>
    <w:link w:val="FootnoteText"/>
    <w:uiPriority w:val="99"/>
    <w:semiHidden/>
    <w:rsid w:val="00D55665"/>
  </w:style>
  <w:style w:type="character" w:styleId="FootnoteReference">
    <w:name w:val="footnote reference"/>
    <w:basedOn w:val="DefaultParagraphFont"/>
    <w:uiPriority w:val="99"/>
    <w:semiHidden/>
    <w:unhideWhenUsed/>
    <w:rsid w:val="00D55665"/>
    <w:rPr>
      <w:vertAlign w:val="superscript"/>
    </w:rPr>
  </w:style>
  <w:style w:type="paragraph" w:customStyle="1" w:styleId="Footnote">
    <w:name w:val="Footnote"/>
    <w:basedOn w:val="FootnoteText"/>
    <w:link w:val="FootnoteChar"/>
    <w:qFormat/>
    <w:rsid w:val="00D55665"/>
    <w:rPr>
      <w:sz w:val="18"/>
    </w:rPr>
  </w:style>
  <w:style w:type="character" w:styleId="Hyperlink">
    <w:name w:val="Hyperlink"/>
    <w:basedOn w:val="DefaultParagraphFont"/>
    <w:uiPriority w:val="99"/>
    <w:unhideWhenUsed/>
    <w:rsid w:val="00D55665"/>
    <w:rPr>
      <w:color w:val="0563C1" w:themeColor="hyperlink"/>
      <w:u w:val="single"/>
    </w:rPr>
  </w:style>
  <w:style w:type="character" w:customStyle="1" w:styleId="FootnoteChar">
    <w:name w:val="Footnote Char"/>
    <w:basedOn w:val="FootnoteTextChar"/>
    <w:link w:val="Footnote"/>
    <w:rsid w:val="00D55665"/>
    <w:rPr>
      <w:sz w:val="18"/>
    </w:rPr>
  </w:style>
  <w:style w:type="character" w:styleId="UnresolvedMention">
    <w:name w:val="Unresolved Mention"/>
    <w:basedOn w:val="DefaultParagraphFont"/>
    <w:uiPriority w:val="99"/>
    <w:semiHidden/>
    <w:unhideWhenUsed/>
    <w:rsid w:val="00D55665"/>
    <w:rPr>
      <w:color w:val="605E5C"/>
      <w:shd w:val="clear" w:color="auto" w:fill="E1DFDD"/>
    </w:rPr>
  </w:style>
  <w:style w:type="character" w:customStyle="1" w:styleId="NoSpacingChar">
    <w:name w:val="No Spacing Char"/>
    <w:basedOn w:val="DefaultParagraphFont"/>
    <w:link w:val="NoSpacing"/>
    <w:uiPriority w:val="1"/>
    <w:rsid w:val="00D15896"/>
  </w:style>
  <w:style w:type="paragraph" w:styleId="BalloonText">
    <w:name w:val="Balloon Text"/>
    <w:basedOn w:val="Normal"/>
    <w:link w:val="BalloonTextChar"/>
    <w:uiPriority w:val="99"/>
    <w:semiHidden/>
    <w:unhideWhenUsed/>
    <w:rsid w:val="00CE74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4B3"/>
    <w:rPr>
      <w:rFonts w:ascii="Segoe UI" w:hAnsi="Segoe UI" w:cs="Segoe UI"/>
      <w:sz w:val="18"/>
      <w:szCs w:val="18"/>
    </w:rPr>
  </w:style>
  <w:style w:type="character" w:styleId="CommentReference">
    <w:name w:val="annotation reference"/>
    <w:basedOn w:val="DefaultParagraphFont"/>
    <w:uiPriority w:val="99"/>
    <w:semiHidden/>
    <w:unhideWhenUsed/>
    <w:rsid w:val="00F217DF"/>
    <w:rPr>
      <w:sz w:val="16"/>
      <w:szCs w:val="16"/>
    </w:rPr>
  </w:style>
  <w:style w:type="paragraph" w:styleId="CommentText">
    <w:name w:val="annotation text"/>
    <w:basedOn w:val="Normal"/>
    <w:link w:val="CommentTextChar"/>
    <w:uiPriority w:val="99"/>
    <w:semiHidden/>
    <w:unhideWhenUsed/>
    <w:rsid w:val="00F217DF"/>
    <w:pPr>
      <w:spacing w:line="240" w:lineRule="auto"/>
    </w:pPr>
  </w:style>
  <w:style w:type="character" w:customStyle="1" w:styleId="CommentTextChar">
    <w:name w:val="Comment Text Char"/>
    <w:basedOn w:val="DefaultParagraphFont"/>
    <w:link w:val="CommentText"/>
    <w:uiPriority w:val="99"/>
    <w:semiHidden/>
    <w:rsid w:val="00F217DF"/>
  </w:style>
  <w:style w:type="paragraph" w:styleId="CommentSubject">
    <w:name w:val="annotation subject"/>
    <w:basedOn w:val="CommentText"/>
    <w:next w:val="CommentText"/>
    <w:link w:val="CommentSubjectChar"/>
    <w:uiPriority w:val="99"/>
    <w:semiHidden/>
    <w:unhideWhenUsed/>
    <w:rsid w:val="00F217DF"/>
    <w:rPr>
      <w:b/>
      <w:bCs/>
    </w:rPr>
  </w:style>
  <w:style w:type="character" w:customStyle="1" w:styleId="CommentSubjectChar">
    <w:name w:val="Comment Subject Char"/>
    <w:basedOn w:val="CommentTextChar"/>
    <w:link w:val="CommentSubject"/>
    <w:uiPriority w:val="99"/>
    <w:semiHidden/>
    <w:rsid w:val="00F217DF"/>
    <w:rPr>
      <w:b/>
      <w:bCs/>
    </w:rPr>
  </w:style>
  <w:style w:type="paragraph" w:styleId="BodyText">
    <w:name w:val="Body Text"/>
    <w:basedOn w:val="Normal"/>
    <w:link w:val="BodyTextChar"/>
    <w:uiPriority w:val="1"/>
    <w:qFormat/>
    <w:rsid w:val="001B1A8C"/>
    <w:pPr>
      <w:spacing w:before="0" w:after="120"/>
    </w:pPr>
    <w:rPr>
      <w:rFonts w:eastAsiaTheme="minorHAnsi"/>
      <w:sz w:val="22"/>
      <w:szCs w:val="22"/>
    </w:rPr>
  </w:style>
  <w:style w:type="character" w:customStyle="1" w:styleId="BodyTextChar">
    <w:name w:val="Body Text Char"/>
    <w:basedOn w:val="DefaultParagraphFont"/>
    <w:link w:val="BodyText"/>
    <w:uiPriority w:val="1"/>
    <w:rsid w:val="001B1A8C"/>
    <w:rPr>
      <w:rFonts w:eastAsiaTheme="minorHAnsi"/>
      <w:sz w:val="22"/>
      <w:szCs w:val="22"/>
    </w:rPr>
  </w:style>
  <w:style w:type="table" w:styleId="PlainTable2">
    <w:name w:val="Plain Table 2"/>
    <w:basedOn w:val="TableNormal"/>
    <w:uiPriority w:val="42"/>
    <w:rsid w:val="001B1A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3940E69AD4721A676F227ECC5F40E"/>
        <w:category>
          <w:name w:val="General"/>
          <w:gallery w:val="placeholder"/>
        </w:category>
        <w:types>
          <w:type w:val="bbPlcHdr"/>
        </w:types>
        <w:behaviors>
          <w:behavior w:val="content"/>
        </w:behaviors>
        <w:guid w:val="{179518B8-3CE1-4263-9FB4-1D814C9B29C2}"/>
      </w:docPartPr>
      <w:docPartBody>
        <w:p w:rsidR="003D529F" w:rsidRDefault="00A91EB7" w:rsidP="00A91EB7">
          <w:pPr>
            <w:pStyle w:val="0493940E69AD4721A676F227ECC5F40E"/>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B7"/>
    <w:rsid w:val="00265CA8"/>
    <w:rsid w:val="003D529F"/>
    <w:rsid w:val="003F292D"/>
    <w:rsid w:val="003F2962"/>
    <w:rsid w:val="00864CAD"/>
    <w:rsid w:val="00906A81"/>
    <w:rsid w:val="00A91EB7"/>
    <w:rsid w:val="00B1263E"/>
    <w:rsid w:val="00B55A04"/>
    <w:rsid w:val="00C23AB1"/>
    <w:rsid w:val="00C46FDF"/>
    <w:rsid w:val="00F9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EB7"/>
    <w:rPr>
      <w:color w:val="808080"/>
    </w:rPr>
  </w:style>
  <w:style w:type="paragraph" w:customStyle="1" w:styleId="0C63D7DCD47E44868C42B2C6E7B3922D">
    <w:name w:val="0C63D7DCD47E44868C42B2C6E7B3922D"/>
    <w:rsid w:val="00A91EB7"/>
  </w:style>
  <w:style w:type="paragraph" w:customStyle="1" w:styleId="6B65AFFBE99244529CD7F2B08A574D8D">
    <w:name w:val="6B65AFFBE99244529CD7F2B08A574D8D"/>
    <w:rsid w:val="00A91EB7"/>
  </w:style>
  <w:style w:type="paragraph" w:customStyle="1" w:styleId="95BD843DAA2E48AEB55DE9DAF422B512">
    <w:name w:val="95BD843DAA2E48AEB55DE9DAF422B512"/>
    <w:rsid w:val="00A91EB7"/>
  </w:style>
  <w:style w:type="paragraph" w:customStyle="1" w:styleId="6466E710C0D841B6A25A1EFAF12D7BBF">
    <w:name w:val="6466E710C0D841B6A25A1EFAF12D7BBF"/>
    <w:rsid w:val="00A91EB7"/>
  </w:style>
  <w:style w:type="paragraph" w:customStyle="1" w:styleId="0631C85718644BA59C16B186B9572F7F">
    <w:name w:val="0631C85718644BA59C16B186B9572F7F"/>
    <w:rsid w:val="00A91EB7"/>
  </w:style>
  <w:style w:type="paragraph" w:customStyle="1" w:styleId="32300F2B41CF4CF0B3822927B90EA029">
    <w:name w:val="32300F2B41CF4CF0B3822927B90EA029"/>
    <w:rsid w:val="00A91EB7"/>
  </w:style>
  <w:style w:type="paragraph" w:customStyle="1" w:styleId="48AF612F2B4146C6AC10DCC8BC7BEC2F">
    <w:name w:val="48AF612F2B4146C6AC10DCC8BC7BEC2F"/>
    <w:rsid w:val="00A91EB7"/>
  </w:style>
  <w:style w:type="paragraph" w:customStyle="1" w:styleId="0493940E69AD4721A676F227ECC5F40E">
    <w:name w:val="0493940E69AD4721A676F227ECC5F40E"/>
    <w:rsid w:val="00A91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MT (Transit)">
      <a:dk1>
        <a:sysClr val="windowText" lastClr="000000"/>
      </a:dk1>
      <a:lt1>
        <a:sysClr val="window" lastClr="FFFFFF"/>
      </a:lt1>
      <a:dk2>
        <a:srgbClr val="44546A"/>
      </a:dk2>
      <a:lt2>
        <a:srgbClr val="E7E6E6"/>
      </a:lt2>
      <a:accent1>
        <a:srgbClr val="00A64F"/>
      </a:accent1>
      <a:accent2>
        <a:srgbClr val="252158"/>
      </a:accent2>
      <a:accent3>
        <a:srgbClr val="A5A5A5"/>
      </a:accent3>
      <a:accent4>
        <a:srgbClr val="A1D5AF"/>
      </a:accent4>
      <a:accent5>
        <a:srgbClr val="CBC4D8"/>
      </a:accent5>
      <a:accent6>
        <a:srgbClr val="6C658F"/>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4419-40E2-41DA-9ECC-6800BC32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Transit Asset Management Plan</vt:lpstr>
    </vt:vector>
  </TitlesOfParts>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Asset Management Plan</dc:title>
  <dc:subject/>
  <dc:creator>Kwong, Alison N.</dc:creator>
  <cp:keywords/>
  <dc:description/>
  <cp:lastModifiedBy>Manske, Sarah S.</cp:lastModifiedBy>
  <cp:revision>3</cp:revision>
  <dcterms:created xsi:type="dcterms:W3CDTF">2019-03-01T14:48:00Z</dcterms:created>
  <dcterms:modified xsi:type="dcterms:W3CDTF">2019-03-01T20:22:00Z</dcterms:modified>
</cp:coreProperties>
</file>